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456"/>
        <w:gridCol w:w="4296"/>
        <w:gridCol w:w="7440"/>
      </w:tblGrid>
      <w:tr w:rsidR="0041018C" w:rsidRPr="009F2BD1" w:rsidTr="0041018C">
        <w:trPr>
          <w:trHeight w:val="1545"/>
        </w:trPr>
        <w:tc>
          <w:tcPr>
            <w:tcW w:w="3456" w:type="dxa"/>
          </w:tcPr>
          <w:p w:rsidR="0041018C" w:rsidRPr="00F470EF" w:rsidRDefault="0041018C" w:rsidP="00B57A9B">
            <w:pPr>
              <w:jc w:val="left"/>
              <w:rPr>
                <w:rFonts w:ascii="Arial" w:hAnsi="Arial" w:cs="Arial"/>
                <w:sz w:val="24"/>
                <w:szCs w:val="24"/>
              </w:rPr>
            </w:pPr>
            <w:bookmarkStart w:id="0" w:name="_GoBack"/>
            <w:bookmarkEnd w:id="0"/>
            <w:r>
              <w:rPr>
                <w:rFonts w:ascii="Arial" w:hAnsi="Arial" w:cs="Arial"/>
                <w:noProof/>
                <w:sz w:val="24"/>
                <w:szCs w:val="24"/>
              </w:rPr>
              <w:drawing>
                <wp:inline distT="0" distB="0" distL="0" distR="0" wp14:anchorId="752CC662" wp14:editId="51C3A585">
                  <wp:extent cx="2052083" cy="122274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of-Maine-1.jpg"/>
                          <pic:cNvPicPr/>
                        </pic:nvPicPr>
                        <pic:blipFill>
                          <a:blip r:embed="rId9">
                            <a:extLst>
                              <a:ext uri="{28A0092B-C50C-407E-A947-70E740481C1C}">
                                <a14:useLocalDpi xmlns:a14="http://schemas.microsoft.com/office/drawing/2010/main" val="0"/>
                              </a:ext>
                            </a:extLst>
                          </a:blip>
                          <a:stretch>
                            <a:fillRect/>
                          </a:stretch>
                        </pic:blipFill>
                        <pic:spPr>
                          <a:xfrm>
                            <a:off x="0" y="0"/>
                            <a:ext cx="2048907" cy="1220853"/>
                          </a:xfrm>
                          <a:prstGeom prst="rect">
                            <a:avLst/>
                          </a:prstGeom>
                        </pic:spPr>
                      </pic:pic>
                    </a:graphicData>
                  </a:graphic>
                </wp:inline>
              </w:drawing>
            </w:r>
          </w:p>
        </w:tc>
        <w:tc>
          <w:tcPr>
            <w:tcW w:w="3942" w:type="dxa"/>
          </w:tcPr>
          <w:p w:rsidR="0041018C" w:rsidRDefault="0041018C" w:rsidP="0041018C">
            <w:pPr>
              <w:jc w:val="center"/>
              <w:rPr>
                <w:b/>
                <w:color w:val="1F497D" w:themeColor="text2"/>
                <w:sz w:val="28"/>
                <w:szCs w:val="28"/>
              </w:rPr>
            </w:pPr>
          </w:p>
          <w:p w:rsidR="0041018C" w:rsidRDefault="0041018C" w:rsidP="0041018C">
            <w:pPr>
              <w:jc w:val="center"/>
              <w:rPr>
                <w:b/>
                <w:color w:val="1F497D" w:themeColor="text2"/>
                <w:sz w:val="28"/>
                <w:szCs w:val="28"/>
              </w:rPr>
            </w:pPr>
          </w:p>
          <w:p w:rsidR="0041018C" w:rsidRPr="009F2BD1" w:rsidRDefault="0041018C" w:rsidP="0041018C">
            <w:pPr>
              <w:jc w:val="center"/>
              <w:rPr>
                <w:b/>
                <w:color w:val="1F497D" w:themeColor="text2"/>
                <w:sz w:val="28"/>
                <w:szCs w:val="28"/>
              </w:rPr>
            </w:pPr>
            <w:r>
              <w:rPr>
                <w:noProof/>
              </w:rPr>
              <w:drawing>
                <wp:inline distT="0" distB="0" distL="0" distR="0" wp14:anchorId="59B1CC56" wp14:editId="14F8E419">
                  <wp:extent cx="2583712" cy="574159"/>
                  <wp:effectExtent l="0" t="0" r="7620" b="0"/>
                  <wp:docPr id="1" name="Picture 1" descr="C:\Users\Lisa Tuttle\AppData\Local\Microsoft\Windows\Temporary Internet Files\Content.Outlook\PRDJM42I\Q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sa Tuttle\AppData\Local\Microsoft\Windows\Temporary Internet Files\Content.Outlook\PRDJM42I\QC 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4604" cy="576579"/>
                          </a:xfrm>
                          <a:prstGeom prst="rect">
                            <a:avLst/>
                          </a:prstGeom>
                          <a:noFill/>
                          <a:ln>
                            <a:noFill/>
                          </a:ln>
                        </pic:spPr>
                      </pic:pic>
                    </a:graphicData>
                  </a:graphic>
                </wp:inline>
              </w:drawing>
            </w:r>
          </w:p>
        </w:tc>
        <w:tc>
          <w:tcPr>
            <w:tcW w:w="7794" w:type="dxa"/>
          </w:tcPr>
          <w:p w:rsidR="0041018C" w:rsidRPr="009F2BD1" w:rsidRDefault="0041018C" w:rsidP="0041018C">
            <w:pPr>
              <w:jc w:val="center"/>
              <w:rPr>
                <w:b/>
                <w:color w:val="1F497D" w:themeColor="text2"/>
                <w:sz w:val="28"/>
                <w:szCs w:val="28"/>
              </w:rPr>
            </w:pPr>
            <w:r w:rsidRPr="009F2BD1">
              <w:rPr>
                <w:b/>
                <w:color w:val="1F497D" w:themeColor="text2"/>
                <w:sz w:val="28"/>
                <w:szCs w:val="28"/>
              </w:rPr>
              <w:t xml:space="preserve">SIM </w:t>
            </w:r>
            <w:r>
              <w:rPr>
                <w:b/>
                <w:color w:val="1F497D" w:themeColor="text2"/>
                <w:sz w:val="28"/>
                <w:szCs w:val="28"/>
              </w:rPr>
              <w:t xml:space="preserve">Delivery System Reform </w:t>
            </w:r>
            <w:r w:rsidRPr="009F2BD1">
              <w:rPr>
                <w:b/>
                <w:color w:val="1F497D" w:themeColor="text2"/>
                <w:sz w:val="28"/>
                <w:szCs w:val="28"/>
              </w:rPr>
              <w:t>Subcommittee</w:t>
            </w:r>
            <w:r>
              <w:rPr>
                <w:b/>
                <w:color w:val="1F497D" w:themeColor="text2"/>
                <w:sz w:val="28"/>
                <w:szCs w:val="28"/>
              </w:rPr>
              <w:t xml:space="preserve"> Report to Steering Committee</w:t>
            </w:r>
          </w:p>
          <w:p w:rsidR="0041018C" w:rsidRPr="009F2BD1" w:rsidRDefault="0041018C" w:rsidP="009F2BD1">
            <w:pPr>
              <w:rPr>
                <w:b/>
                <w:color w:val="1F497D" w:themeColor="text2"/>
                <w:sz w:val="10"/>
              </w:rPr>
            </w:pPr>
          </w:p>
          <w:p w:rsidR="0041018C" w:rsidRPr="009F2BD1" w:rsidRDefault="0041018C" w:rsidP="0041018C">
            <w:pPr>
              <w:jc w:val="center"/>
              <w:rPr>
                <w:b/>
                <w:color w:val="1F497D" w:themeColor="text2"/>
              </w:rPr>
            </w:pPr>
            <w:r w:rsidRPr="009F2BD1">
              <w:rPr>
                <w:b/>
                <w:color w:val="1F497D" w:themeColor="text2"/>
              </w:rPr>
              <w:t>Date:</w:t>
            </w:r>
            <w:r>
              <w:rPr>
                <w:b/>
                <w:color w:val="1F497D" w:themeColor="text2"/>
              </w:rPr>
              <w:t xml:space="preserve"> 12/9/13</w:t>
            </w:r>
          </w:p>
          <w:p w:rsidR="0041018C" w:rsidRPr="009F2BD1" w:rsidRDefault="0041018C" w:rsidP="00FA28D7">
            <w:pPr>
              <w:rPr>
                <w:b/>
                <w:color w:val="548DD4" w:themeColor="text2" w:themeTint="99"/>
              </w:rPr>
            </w:pPr>
          </w:p>
        </w:tc>
      </w:tr>
    </w:tbl>
    <w:p w:rsidR="00783336" w:rsidRPr="00F470EF" w:rsidRDefault="00783336" w:rsidP="00B57A9B">
      <w:pPr>
        <w:jc w:val="left"/>
        <w:rPr>
          <w:rFonts w:ascii="Arial" w:hAnsi="Arial" w:cs="Arial"/>
          <w:sz w:val="24"/>
          <w:szCs w:val="24"/>
        </w:rPr>
      </w:pPr>
    </w:p>
    <w:p w:rsidR="00EC2CBE" w:rsidRPr="00EC2CBE" w:rsidRDefault="00E82E95" w:rsidP="00B57A9B">
      <w:pPr>
        <w:jc w:val="left"/>
        <w:rPr>
          <w:rFonts w:cstheme="minorHAnsi"/>
          <w:b/>
        </w:rPr>
      </w:pPr>
      <w:r>
        <w:rPr>
          <w:rFonts w:cstheme="minorHAnsi"/>
          <w:b/>
        </w:rPr>
        <w:t>Chair</w:t>
      </w:r>
      <w:r w:rsidR="00FA28D7">
        <w:rPr>
          <w:rFonts w:cstheme="minorHAnsi"/>
          <w:b/>
        </w:rPr>
        <w:t xml:space="preserve"> and Staff</w:t>
      </w:r>
      <w:r>
        <w:rPr>
          <w:rFonts w:cstheme="minorHAnsi"/>
          <w:b/>
        </w:rPr>
        <w:t xml:space="preserve">: </w:t>
      </w:r>
      <w:r w:rsidR="0041018C">
        <w:rPr>
          <w:rFonts w:cstheme="minorHAnsi"/>
          <w:b/>
        </w:rPr>
        <w:t>Lisa Tuttle, MPH; Lise Tancrede</w:t>
      </w:r>
    </w:p>
    <w:p w:rsidR="00DA4F5E" w:rsidRPr="00F6206F" w:rsidRDefault="00DA4F5E" w:rsidP="00B57A9B">
      <w:pPr>
        <w:jc w:val="left"/>
        <w:rPr>
          <w:rFonts w:cstheme="minorHAnsi"/>
        </w:rPr>
        <w:sectPr w:rsidR="00DA4F5E" w:rsidRPr="00F6206F" w:rsidSect="00BC2BC9">
          <w:headerReference w:type="default" r:id="rId11"/>
          <w:footerReference w:type="default" r:id="rId12"/>
          <w:pgSz w:w="15840" w:h="12240" w:orient="landscape"/>
          <w:pgMar w:top="432" w:right="432" w:bottom="432" w:left="432" w:header="720" w:footer="720" w:gutter="0"/>
          <w:cols w:space="720"/>
          <w:docGrid w:linePitch="360"/>
        </w:sectPr>
      </w:pPr>
    </w:p>
    <w:p w:rsidR="00030B11" w:rsidRPr="00030B11" w:rsidRDefault="00030B11" w:rsidP="00B57A9B">
      <w:pPr>
        <w:jc w:val="left"/>
        <w:rPr>
          <w:rFonts w:cstheme="minorHAnsi"/>
        </w:rPr>
        <w:sectPr w:rsidR="00030B11" w:rsidRPr="00030B11" w:rsidSect="006E689F">
          <w:type w:val="continuous"/>
          <w:pgSz w:w="15840" w:h="12240" w:orient="landscape"/>
          <w:pgMar w:top="1440" w:right="720" w:bottom="1440" w:left="1440" w:header="720" w:footer="720" w:gutter="0"/>
          <w:cols w:num="2" w:space="720"/>
          <w:docGrid w:linePitch="360"/>
        </w:sectPr>
      </w:pPr>
    </w:p>
    <w:p w:rsidR="00DA4F5E" w:rsidRDefault="00A72713" w:rsidP="003B3A33">
      <w:pPr>
        <w:ind w:left="-990"/>
        <w:jc w:val="left"/>
      </w:pPr>
      <w:r w:rsidRPr="007B64B4">
        <w:rPr>
          <w:rFonts w:cs="Arial"/>
          <w:i/>
        </w:rPr>
        <w:lastRenderedPageBreak/>
        <w:t xml:space="preserve">Subcommittee </w:t>
      </w:r>
      <w:r w:rsidR="00AA1F9E" w:rsidRPr="007B64B4">
        <w:rPr>
          <w:rFonts w:cs="Arial"/>
          <w:i/>
        </w:rPr>
        <w:t>documents available at</w:t>
      </w:r>
      <w:r w:rsidR="00AA1F9E" w:rsidRPr="00E95CFE">
        <w:rPr>
          <w:rFonts w:cs="Arial"/>
          <w:b/>
        </w:rPr>
        <w:t xml:space="preserve">: </w:t>
      </w:r>
      <w:r w:rsidR="00FA28D7">
        <w:rPr>
          <w:rFonts w:cs="Arial"/>
          <w:b/>
        </w:rPr>
        <w:t xml:space="preserve"> </w:t>
      </w:r>
      <w:hyperlink r:id="rId13" w:history="1">
        <w:r w:rsidR="0041018C" w:rsidRPr="0041018C">
          <w:rPr>
            <w:color w:val="0000FF"/>
            <w:u w:val="single"/>
          </w:rPr>
          <w:t>http://www.mainequalitycounts.org/page/2-961/system-delivery-reform-subcommittee</w:t>
        </w:r>
      </w:hyperlink>
    </w:p>
    <w:p w:rsidR="00B44290" w:rsidRDefault="00B44290" w:rsidP="003B3A33">
      <w:pPr>
        <w:ind w:left="-990"/>
        <w:jc w:val="left"/>
      </w:pPr>
    </w:p>
    <w:p w:rsidR="00B44290" w:rsidRDefault="00B44290" w:rsidP="003B3A33">
      <w:pPr>
        <w:ind w:left="-990"/>
        <w:jc w:val="left"/>
        <w:rPr>
          <w:sz w:val="24"/>
          <w:szCs w:val="24"/>
        </w:rPr>
      </w:pPr>
      <w:r>
        <w:rPr>
          <w:sz w:val="24"/>
          <w:szCs w:val="24"/>
        </w:rPr>
        <w:t>Deliver</w:t>
      </w:r>
      <w:r w:rsidR="00E84095">
        <w:rPr>
          <w:sz w:val="24"/>
          <w:szCs w:val="24"/>
        </w:rPr>
        <w:t>y</w:t>
      </w:r>
      <w:r>
        <w:rPr>
          <w:sz w:val="24"/>
          <w:szCs w:val="24"/>
        </w:rPr>
        <w:t xml:space="preserve"> System Reform Subcommittee Status Summary:</w:t>
      </w:r>
    </w:p>
    <w:p w:rsidR="00B44290" w:rsidRDefault="00B44290" w:rsidP="003B3A33">
      <w:pPr>
        <w:ind w:left="-990"/>
        <w:jc w:val="left"/>
        <w:rPr>
          <w:sz w:val="24"/>
          <w:szCs w:val="24"/>
        </w:rPr>
      </w:pPr>
    </w:p>
    <w:p w:rsidR="00B44290" w:rsidRDefault="00B44290" w:rsidP="00B44290">
      <w:pPr>
        <w:ind w:left="-990"/>
        <w:jc w:val="left"/>
        <w:rPr>
          <w:sz w:val="24"/>
          <w:szCs w:val="24"/>
        </w:rPr>
      </w:pPr>
      <w:r>
        <w:rPr>
          <w:sz w:val="24"/>
          <w:szCs w:val="24"/>
        </w:rPr>
        <w:t>The DSR Subcommittee</w:t>
      </w:r>
      <w:r w:rsidR="002F4D92">
        <w:rPr>
          <w:sz w:val="24"/>
          <w:szCs w:val="24"/>
        </w:rPr>
        <w:t xml:space="preserve"> established a recurring meeting schedule of the first Wednesday of each month from 10am – noon.  The Subcommittee</w:t>
      </w:r>
      <w:r>
        <w:rPr>
          <w:sz w:val="24"/>
          <w:szCs w:val="24"/>
        </w:rPr>
        <w:t xml:space="preserve"> met on the following dates:</w:t>
      </w:r>
    </w:p>
    <w:p w:rsidR="00B44290" w:rsidRDefault="00B44290" w:rsidP="00B44290">
      <w:pPr>
        <w:ind w:left="-990"/>
        <w:jc w:val="left"/>
        <w:rPr>
          <w:sz w:val="24"/>
          <w:szCs w:val="24"/>
        </w:rPr>
      </w:pPr>
      <w:r>
        <w:rPr>
          <w:sz w:val="24"/>
          <w:szCs w:val="24"/>
        </w:rPr>
        <w:t>October 31, 2013</w:t>
      </w:r>
    </w:p>
    <w:p w:rsidR="00B44290" w:rsidRDefault="00B44290" w:rsidP="00B44290">
      <w:pPr>
        <w:ind w:left="-990"/>
        <w:jc w:val="left"/>
        <w:rPr>
          <w:sz w:val="24"/>
          <w:szCs w:val="24"/>
        </w:rPr>
      </w:pPr>
      <w:r>
        <w:rPr>
          <w:sz w:val="24"/>
          <w:szCs w:val="24"/>
        </w:rPr>
        <w:t xml:space="preserve">November 6, 2013, and </w:t>
      </w:r>
    </w:p>
    <w:p w:rsidR="00B44290" w:rsidRDefault="00B44290" w:rsidP="00B44290">
      <w:pPr>
        <w:ind w:left="-990"/>
        <w:jc w:val="left"/>
        <w:rPr>
          <w:sz w:val="24"/>
          <w:szCs w:val="24"/>
        </w:rPr>
      </w:pPr>
      <w:r>
        <w:rPr>
          <w:sz w:val="24"/>
          <w:szCs w:val="24"/>
        </w:rPr>
        <w:t>December 4, 2013</w:t>
      </w:r>
    </w:p>
    <w:p w:rsidR="00B44290" w:rsidRDefault="00B44290" w:rsidP="00B44290">
      <w:pPr>
        <w:ind w:left="-990"/>
        <w:jc w:val="left"/>
        <w:rPr>
          <w:sz w:val="24"/>
          <w:szCs w:val="24"/>
        </w:rPr>
      </w:pPr>
    </w:p>
    <w:p w:rsidR="00B44290" w:rsidRDefault="002F4D92" w:rsidP="00B44290">
      <w:pPr>
        <w:ind w:left="-990"/>
        <w:jc w:val="left"/>
        <w:rPr>
          <w:sz w:val="24"/>
          <w:szCs w:val="24"/>
        </w:rPr>
      </w:pPr>
      <w:r>
        <w:rPr>
          <w:sz w:val="24"/>
          <w:szCs w:val="24"/>
        </w:rPr>
        <w:t xml:space="preserve">The October meeting followed the SIM Annual Meeting and primarily focused on introduction of members, discussion of subcommittee charge and structure, and responsibilities in the larger SIM Governance Structure.  The November meeting focused primarily on meeting structure and process, reviewed a drafted Subcommittee charter, explored role types and responsibilities and began to review the Subcommittee scope and projected timeline.  The December meeting began to explore key content areas and initiatives under the Subcommittee scope, including the model of enhanced primary care advanced through the Maine Patient Centered Medical Home Pilot, the </w:t>
      </w:r>
      <w:proofErr w:type="spellStart"/>
      <w:r>
        <w:rPr>
          <w:sz w:val="24"/>
          <w:szCs w:val="24"/>
        </w:rPr>
        <w:t>MaineCare</w:t>
      </w:r>
      <w:proofErr w:type="spellEnd"/>
      <w:r>
        <w:rPr>
          <w:sz w:val="24"/>
          <w:szCs w:val="24"/>
        </w:rPr>
        <w:t xml:space="preserve"> Health Homes initiative</w:t>
      </w:r>
      <w:r w:rsidR="00176A65">
        <w:rPr>
          <w:sz w:val="24"/>
          <w:szCs w:val="24"/>
        </w:rPr>
        <w:t xml:space="preserve"> and Learning Collaborative</w:t>
      </w:r>
      <w:r>
        <w:rPr>
          <w:sz w:val="24"/>
          <w:szCs w:val="24"/>
        </w:rPr>
        <w:t xml:space="preserve">, the Community Care Team model and the Community Health Worker Pilot Initiative. </w:t>
      </w:r>
    </w:p>
    <w:p w:rsidR="002F4D92" w:rsidRDefault="002F4D92" w:rsidP="00B44290">
      <w:pPr>
        <w:ind w:left="-990"/>
        <w:jc w:val="left"/>
        <w:rPr>
          <w:sz w:val="24"/>
          <w:szCs w:val="24"/>
        </w:rPr>
      </w:pPr>
    </w:p>
    <w:p w:rsidR="002F4D92" w:rsidRDefault="002F4D92" w:rsidP="00B44290">
      <w:pPr>
        <w:ind w:left="-990"/>
        <w:jc w:val="left"/>
        <w:rPr>
          <w:sz w:val="24"/>
          <w:szCs w:val="24"/>
        </w:rPr>
      </w:pPr>
      <w:r>
        <w:rPr>
          <w:sz w:val="24"/>
          <w:szCs w:val="24"/>
        </w:rPr>
        <w:t xml:space="preserve">Future meetings will package both education on critical content areas as well as actions on initiatives under the DSR Subcommittee scope.  The January meeting will occur a week off-schedule due to the New Year holiday, on January 8, 2014 and will include a focus on the </w:t>
      </w:r>
      <w:proofErr w:type="spellStart"/>
      <w:r>
        <w:rPr>
          <w:sz w:val="24"/>
          <w:szCs w:val="24"/>
        </w:rPr>
        <w:t>MaineCare</w:t>
      </w:r>
      <w:proofErr w:type="spellEnd"/>
      <w:r>
        <w:rPr>
          <w:sz w:val="24"/>
          <w:szCs w:val="24"/>
        </w:rPr>
        <w:t xml:space="preserve"> Behavioral Health Home initiative and Learning Collaborative.  </w:t>
      </w:r>
      <w:r w:rsidR="00787459">
        <w:rPr>
          <w:sz w:val="24"/>
          <w:szCs w:val="24"/>
        </w:rPr>
        <w:t xml:space="preserve">The February meeting will include a focus on the Maine CDC’s National Diabetes Prevention Program as well as other content.  </w:t>
      </w:r>
    </w:p>
    <w:p w:rsidR="00787459" w:rsidRDefault="00787459" w:rsidP="00B44290">
      <w:pPr>
        <w:ind w:left="-990"/>
        <w:jc w:val="left"/>
        <w:rPr>
          <w:sz w:val="24"/>
          <w:szCs w:val="24"/>
        </w:rPr>
      </w:pPr>
    </w:p>
    <w:p w:rsidR="00787459" w:rsidRPr="00B44290" w:rsidRDefault="00787459" w:rsidP="00B44290">
      <w:pPr>
        <w:ind w:left="-990"/>
        <w:jc w:val="left"/>
        <w:rPr>
          <w:sz w:val="24"/>
          <w:szCs w:val="24"/>
        </w:rPr>
      </w:pPr>
      <w:r>
        <w:rPr>
          <w:sz w:val="24"/>
          <w:szCs w:val="24"/>
        </w:rPr>
        <w:t>Following are the key Risks and Dependencies tracked in the DSR Subcommittee meetings to date:</w:t>
      </w:r>
    </w:p>
    <w:p w:rsidR="00B44290" w:rsidRDefault="00B44290" w:rsidP="003B3A33">
      <w:pPr>
        <w:ind w:left="-990"/>
        <w:jc w:val="left"/>
      </w:pPr>
    </w:p>
    <w:p w:rsidR="00787459" w:rsidRDefault="00787459" w:rsidP="00040EA9">
      <w:pPr>
        <w:jc w:val="left"/>
      </w:pPr>
    </w:p>
    <w:p w:rsidR="002B6325" w:rsidRDefault="002B6325" w:rsidP="00B55426">
      <w:pPr>
        <w:jc w:val="left"/>
        <w:rPr>
          <w:rFonts w:ascii="Arial" w:hAnsi="Arial" w:cs="Arial"/>
          <w:b/>
          <w:sz w:val="24"/>
          <w:szCs w:val="24"/>
        </w:rPr>
      </w:pPr>
    </w:p>
    <w:tbl>
      <w:tblPr>
        <w:tblStyle w:val="TableGrid1"/>
        <w:tblW w:w="0" w:type="auto"/>
        <w:tblLook w:val="04A0" w:firstRow="1" w:lastRow="0" w:firstColumn="1" w:lastColumn="0" w:noHBand="0" w:noVBand="1"/>
      </w:tblPr>
      <w:tblGrid>
        <w:gridCol w:w="1132"/>
        <w:gridCol w:w="5330"/>
        <w:gridCol w:w="3116"/>
        <w:gridCol w:w="2179"/>
        <w:gridCol w:w="2139"/>
      </w:tblGrid>
      <w:tr w:rsidR="00A74FF9" w:rsidRPr="00A74FF9" w:rsidTr="00370F57">
        <w:tc>
          <w:tcPr>
            <w:tcW w:w="1070" w:type="dxa"/>
            <w:tcBorders>
              <w:top w:val="single" w:sz="4" w:space="0" w:color="auto"/>
              <w:left w:val="nil"/>
              <w:bottom w:val="single" w:sz="4" w:space="0" w:color="auto"/>
              <w:right w:val="nil"/>
            </w:tcBorders>
            <w:shd w:val="clear" w:color="auto" w:fill="FFFFFF" w:themeFill="background1"/>
          </w:tcPr>
          <w:p w:rsidR="00A74FF9" w:rsidRPr="00A74FF9" w:rsidRDefault="00A74FF9" w:rsidP="00A74FF9">
            <w:pPr>
              <w:rPr>
                <w:rFonts w:ascii="Calibri" w:hAnsi="Calibri"/>
                <w:b/>
                <w:sz w:val="24"/>
                <w:szCs w:val="24"/>
              </w:rPr>
            </w:pPr>
          </w:p>
        </w:tc>
        <w:tc>
          <w:tcPr>
            <w:tcW w:w="10683" w:type="dxa"/>
            <w:gridSpan w:val="3"/>
            <w:tcBorders>
              <w:top w:val="single" w:sz="4" w:space="0" w:color="auto"/>
              <w:left w:val="nil"/>
              <w:bottom w:val="single" w:sz="4" w:space="0" w:color="auto"/>
              <w:right w:val="nil"/>
            </w:tcBorders>
            <w:shd w:val="clear" w:color="auto" w:fill="FFFFFF" w:themeFill="background1"/>
          </w:tcPr>
          <w:p w:rsidR="00A74FF9" w:rsidRPr="00A74FF9" w:rsidRDefault="00A74FF9" w:rsidP="00A74FF9">
            <w:pPr>
              <w:rPr>
                <w:rFonts w:ascii="Calibri" w:hAnsi="Calibri"/>
                <w:b/>
                <w:sz w:val="24"/>
                <w:szCs w:val="24"/>
              </w:rPr>
            </w:pPr>
          </w:p>
        </w:tc>
        <w:tc>
          <w:tcPr>
            <w:tcW w:w="2143" w:type="dxa"/>
            <w:tcBorders>
              <w:top w:val="single" w:sz="4" w:space="0" w:color="auto"/>
              <w:left w:val="nil"/>
              <w:bottom w:val="single" w:sz="4" w:space="0" w:color="auto"/>
              <w:right w:val="nil"/>
            </w:tcBorders>
            <w:shd w:val="clear" w:color="auto" w:fill="FFFFFF" w:themeFill="background1"/>
          </w:tcPr>
          <w:p w:rsidR="00A74FF9" w:rsidRPr="00A74FF9" w:rsidRDefault="00A74FF9" w:rsidP="00A74FF9">
            <w:pPr>
              <w:rPr>
                <w:rFonts w:ascii="Calibri" w:hAnsi="Calibri"/>
                <w:b/>
                <w:sz w:val="24"/>
                <w:szCs w:val="24"/>
              </w:rPr>
            </w:pPr>
          </w:p>
        </w:tc>
      </w:tr>
      <w:tr w:rsidR="00A74FF9" w:rsidRPr="00A74FF9" w:rsidTr="005E3C25">
        <w:tc>
          <w:tcPr>
            <w:tcW w:w="13896" w:type="dxa"/>
            <w:gridSpan w:val="5"/>
            <w:tcBorders>
              <w:top w:val="single" w:sz="4" w:space="0" w:color="auto"/>
            </w:tcBorders>
            <w:shd w:val="clear" w:color="auto" w:fill="D9D9D9" w:themeFill="background1" w:themeFillShade="D9"/>
          </w:tcPr>
          <w:p w:rsidR="00A74FF9" w:rsidRPr="00A74FF9" w:rsidRDefault="00A74FF9" w:rsidP="00A74FF9">
            <w:pPr>
              <w:rPr>
                <w:rFonts w:ascii="Calibri" w:hAnsi="Calibri"/>
                <w:b/>
                <w:sz w:val="24"/>
                <w:szCs w:val="24"/>
              </w:rPr>
            </w:pPr>
            <w:r w:rsidRPr="00A74FF9">
              <w:rPr>
                <w:rFonts w:ascii="Calibri" w:hAnsi="Calibri"/>
                <w:b/>
                <w:sz w:val="24"/>
                <w:szCs w:val="24"/>
              </w:rPr>
              <w:t>Delivery System Reform Subcommittee Risks Tracking</w:t>
            </w:r>
          </w:p>
        </w:tc>
      </w:tr>
      <w:tr w:rsidR="00A74FF9" w:rsidRPr="00A74FF9" w:rsidTr="00370F57">
        <w:tc>
          <w:tcPr>
            <w:tcW w:w="1070" w:type="dxa"/>
            <w:shd w:val="clear" w:color="auto" w:fill="D9D9D9" w:themeFill="background1" w:themeFillShade="D9"/>
          </w:tcPr>
          <w:p w:rsidR="00A74FF9" w:rsidRPr="00A74FF9" w:rsidRDefault="00A74FF9" w:rsidP="00A74FF9">
            <w:pPr>
              <w:rPr>
                <w:rFonts w:ascii="Calibri" w:hAnsi="Calibri"/>
                <w:b/>
                <w:sz w:val="24"/>
                <w:szCs w:val="24"/>
              </w:rPr>
            </w:pPr>
            <w:r>
              <w:rPr>
                <w:rFonts w:ascii="Calibri" w:hAnsi="Calibri"/>
                <w:b/>
                <w:sz w:val="24"/>
                <w:szCs w:val="24"/>
              </w:rPr>
              <w:t>Date</w:t>
            </w:r>
          </w:p>
        </w:tc>
        <w:tc>
          <w:tcPr>
            <w:tcW w:w="5370" w:type="dxa"/>
            <w:shd w:val="clear" w:color="auto" w:fill="D9D9D9" w:themeFill="background1" w:themeFillShade="D9"/>
          </w:tcPr>
          <w:p w:rsidR="00A74FF9" w:rsidRPr="00A74FF9" w:rsidRDefault="00A74FF9" w:rsidP="00A74FF9">
            <w:pPr>
              <w:rPr>
                <w:rFonts w:ascii="Calibri" w:hAnsi="Calibri"/>
                <w:b/>
                <w:sz w:val="24"/>
                <w:szCs w:val="24"/>
              </w:rPr>
            </w:pPr>
            <w:r w:rsidRPr="00A74FF9">
              <w:rPr>
                <w:rFonts w:ascii="Calibri" w:hAnsi="Calibri"/>
                <w:b/>
                <w:sz w:val="24"/>
                <w:szCs w:val="24"/>
              </w:rPr>
              <w:t>Risk Definition</w:t>
            </w:r>
          </w:p>
        </w:tc>
        <w:tc>
          <w:tcPr>
            <w:tcW w:w="3128" w:type="dxa"/>
            <w:shd w:val="clear" w:color="auto" w:fill="D9D9D9" w:themeFill="background1" w:themeFillShade="D9"/>
          </w:tcPr>
          <w:p w:rsidR="00A74FF9" w:rsidRPr="00A74FF9" w:rsidRDefault="00A74FF9" w:rsidP="00A74FF9">
            <w:pPr>
              <w:rPr>
                <w:rFonts w:ascii="Calibri" w:hAnsi="Calibri"/>
                <w:b/>
                <w:sz w:val="24"/>
                <w:szCs w:val="24"/>
              </w:rPr>
            </w:pPr>
            <w:r w:rsidRPr="00A74FF9">
              <w:rPr>
                <w:rFonts w:ascii="Calibri" w:hAnsi="Calibri"/>
                <w:b/>
                <w:sz w:val="24"/>
                <w:szCs w:val="24"/>
              </w:rPr>
              <w:t>Mitigation Options</w:t>
            </w:r>
          </w:p>
        </w:tc>
        <w:tc>
          <w:tcPr>
            <w:tcW w:w="2185" w:type="dxa"/>
            <w:shd w:val="clear" w:color="auto" w:fill="D9D9D9" w:themeFill="background1" w:themeFillShade="D9"/>
          </w:tcPr>
          <w:p w:rsidR="00A74FF9" w:rsidRPr="00A74FF9" w:rsidRDefault="00A74FF9" w:rsidP="00A74FF9">
            <w:pPr>
              <w:rPr>
                <w:rFonts w:ascii="Calibri" w:hAnsi="Calibri"/>
                <w:b/>
                <w:sz w:val="24"/>
                <w:szCs w:val="24"/>
              </w:rPr>
            </w:pPr>
            <w:r w:rsidRPr="00A74FF9">
              <w:rPr>
                <w:rFonts w:ascii="Calibri" w:hAnsi="Calibri"/>
                <w:b/>
                <w:sz w:val="24"/>
                <w:szCs w:val="24"/>
              </w:rPr>
              <w:t>Pros/Cons</w:t>
            </w:r>
          </w:p>
        </w:tc>
        <w:tc>
          <w:tcPr>
            <w:tcW w:w="2143" w:type="dxa"/>
            <w:shd w:val="clear" w:color="auto" w:fill="D9D9D9" w:themeFill="background1" w:themeFillShade="D9"/>
          </w:tcPr>
          <w:p w:rsidR="00A74FF9" w:rsidRPr="00A74FF9" w:rsidRDefault="00A74FF9" w:rsidP="00A74FF9">
            <w:pPr>
              <w:rPr>
                <w:rFonts w:ascii="Calibri" w:hAnsi="Calibri"/>
                <w:b/>
                <w:sz w:val="24"/>
                <w:szCs w:val="24"/>
              </w:rPr>
            </w:pPr>
            <w:r w:rsidRPr="00A74FF9">
              <w:rPr>
                <w:rFonts w:ascii="Calibri" w:hAnsi="Calibri"/>
                <w:b/>
                <w:sz w:val="24"/>
                <w:szCs w:val="24"/>
              </w:rPr>
              <w:t>Assigned To</w:t>
            </w:r>
          </w:p>
        </w:tc>
      </w:tr>
      <w:tr w:rsidR="00A74FF9" w:rsidRPr="003111CD" w:rsidTr="00370F57">
        <w:tc>
          <w:tcPr>
            <w:tcW w:w="1070" w:type="dxa"/>
          </w:tcPr>
          <w:p w:rsidR="00A74FF9" w:rsidRPr="003111CD" w:rsidRDefault="00A819F0" w:rsidP="00A74FF9">
            <w:pPr>
              <w:rPr>
                <w:rFonts w:asciiTheme="minorHAnsi" w:hAnsiTheme="minorHAnsi"/>
                <w:sz w:val="24"/>
                <w:szCs w:val="24"/>
              </w:rPr>
            </w:pPr>
            <w:r w:rsidRPr="003111CD">
              <w:rPr>
                <w:rFonts w:asciiTheme="minorHAnsi" w:hAnsiTheme="minorHAnsi"/>
                <w:sz w:val="24"/>
                <w:szCs w:val="24"/>
              </w:rPr>
              <w:t>12/4/13</w:t>
            </w:r>
          </w:p>
        </w:tc>
        <w:tc>
          <w:tcPr>
            <w:tcW w:w="5370" w:type="dxa"/>
          </w:tcPr>
          <w:p w:rsidR="00A74FF9" w:rsidRPr="003111CD" w:rsidRDefault="00A819F0" w:rsidP="00A74FF9">
            <w:pPr>
              <w:rPr>
                <w:rFonts w:asciiTheme="minorHAnsi" w:hAnsiTheme="minorHAnsi"/>
                <w:sz w:val="24"/>
                <w:szCs w:val="24"/>
              </w:rPr>
            </w:pPr>
            <w:r w:rsidRPr="003111CD">
              <w:rPr>
                <w:rFonts w:asciiTheme="minorHAnsi" w:hAnsiTheme="minorHAnsi"/>
                <w:sz w:val="24"/>
                <w:szCs w:val="24"/>
              </w:rPr>
              <w:t>Continuation of enhanced primary care payment to support the PCMH/HH/CCT model is critical to sustaining the transformation in the delivery system</w:t>
            </w:r>
          </w:p>
        </w:tc>
        <w:tc>
          <w:tcPr>
            <w:tcW w:w="3128" w:type="dxa"/>
          </w:tcPr>
          <w:p w:rsidR="00A74FF9" w:rsidRPr="003111CD" w:rsidRDefault="00A819F0" w:rsidP="00A819F0">
            <w:pPr>
              <w:rPr>
                <w:rFonts w:asciiTheme="minorHAnsi" w:hAnsiTheme="minorHAnsi"/>
                <w:sz w:val="24"/>
                <w:szCs w:val="24"/>
              </w:rPr>
            </w:pPr>
            <w:r w:rsidRPr="003111CD">
              <w:rPr>
                <w:rFonts w:asciiTheme="minorHAnsi" w:hAnsiTheme="minorHAnsi"/>
                <w:sz w:val="24"/>
                <w:szCs w:val="24"/>
              </w:rPr>
              <w:t>1) State support for continuation of enhanced payment model</w:t>
            </w:r>
          </w:p>
        </w:tc>
        <w:tc>
          <w:tcPr>
            <w:tcW w:w="2185" w:type="dxa"/>
          </w:tcPr>
          <w:p w:rsidR="00A74FF9" w:rsidRPr="003111CD" w:rsidRDefault="00A74FF9" w:rsidP="00A74FF9">
            <w:pPr>
              <w:rPr>
                <w:rFonts w:asciiTheme="minorHAnsi" w:hAnsiTheme="minorHAnsi"/>
                <w:b/>
                <w:sz w:val="24"/>
                <w:szCs w:val="24"/>
              </w:rPr>
            </w:pPr>
          </w:p>
        </w:tc>
        <w:tc>
          <w:tcPr>
            <w:tcW w:w="2143" w:type="dxa"/>
          </w:tcPr>
          <w:p w:rsidR="00A74FF9" w:rsidRPr="003111CD" w:rsidRDefault="003111CD" w:rsidP="003111CD">
            <w:pPr>
              <w:rPr>
                <w:rFonts w:asciiTheme="minorHAnsi" w:hAnsiTheme="minorHAnsi"/>
                <w:b/>
                <w:sz w:val="24"/>
                <w:szCs w:val="24"/>
              </w:rPr>
            </w:pPr>
            <w:r>
              <w:rPr>
                <w:rFonts w:asciiTheme="minorHAnsi" w:hAnsiTheme="minorHAnsi"/>
                <w:b/>
                <w:sz w:val="24"/>
                <w:szCs w:val="24"/>
              </w:rPr>
              <w:t xml:space="preserve">Recommended: </w:t>
            </w:r>
            <w:r w:rsidR="00A819F0" w:rsidRPr="003111CD">
              <w:rPr>
                <w:rFonts w:asciiTheme="minorHAnsi" w:hAnsiTheme="minorHAnsi"/>
                <w:b/>
                <w:sz w:val="24"/>
                <w:szCs w:val="24"/>
              </w:rPr>
              <w:t>Steering Committee</w:t>
            </w:r>
          </w:p>
        </w:tc>
      </w:tr>
      <w:tr w:rsidR="00A74FF9" w:rsidRPr="003111CD" w:rsidTr="00370F57">
        <w:tc>
          <w:tcPr>
            <w:tcW w:w="1070" w:type="dxa"/>
          </w:tcPr>
          <w:p w:rsidR="00A74FF9" w:rsidRPr="003111CD" w:rsidRDefault="00EB68B6" w:rsidP="00A74FF9">
            <w:pPr>
              <w:rPr>
                <w:rFonts w:asciiTheme="minorHAnsi" w:hAnsiTheme="minorHAnsi"/>
                <w:sz w:val="24"/>
                <w:szCs w:val="24"/>
              </w:rPr>
            </w:pPr>
            <w:r w:rsidRPr="003111CD">
              <w:rPr>
                <w:rFonts w:asciiTheme="minorHAnsi" w:hAnsiTheme="minorHAnsi"/>
                <w:sz w:val="24"/>
                <w:szCs w:val="24"/>
              </w:rPr>
              <w:t>12/4/13</w:t>
            </w:r>
          </w:p>
        </w:tc>
        <w:tc>
          <w:tcPr>
            <w:tcW w:w="5370" w:type="dxa"/>
          </w:tcPr>
          <w:p w:rsidR="00A74FF9" w:rsidRPr="003111CD" w:rsidRDefault="00EB68B6" w:rsidP="00A74FF9">
            <w:pPr>
              <w:rPr>
                <w:rFonts w:asciiTheme="minorHAnsi" w:hAnsiTheme="minorHAnsi"/>
                <w:sz w:val="24"/>
                <w:szCs w:val="24"/>
              </w:rPr>
            </w:pPr>
            <w:r w:rsidRPr="003111CD">
              <w:rPr>
                <w:rFonts w:asciiTheme="minorHAnsi" w:hAnsiTheme="minorHAnsi"/>
                <w:sz w:val="24"/>
                <w:szCs w:val="24"/>
              </w:rPr>
              <w:t>Understanding the difference between the Community Care Team, Community Health Worker, Care Manager and Case Manager models is critical to ensure effective funding, implementation and sustainability of these models in the delivery system</w:t>
            </w:r>
          </w:p>
        </w:tc>
        <w:tc>
          <w:tcPr>
            <w:tcW w:w="3128" w:type="dxa"/>
          </w:tcPr>
          <w:p w:rsidR="00A74FF9" w:rsidRPr="003111CD" w:rsidRDefault="00EB68B6" w:rsidP="00A74FF9">
            <w:pPr>
              <w:rPr>
                <w:rFonts w:asciiTheme="minorHAnsi" w:hAnsiTheme="minorHAnsi"/>
                <w:sz w:val="24"/>
                <w:szCs w:val="24"/>
              </w:rPr>
            </w:pPr>
            <w:r w:rsidRPr="003111CD">
              <w:rPr>
                <w:rFonts w:asciiTheme="minorHAnsi" w:hAnsiTheme="minorHAnsi"/>
                <w:sz w:val="24"/>
                <w:szCs w:val="24"/>
              </w:rPr>
              <w:t>1) Ensure collaborative work with the initiatives to clarify the different in the models and how they can be used in conjunction; possibly encourage a CHW pilot in conjunction with a Community Care Team in order to test the interaction</w:t>
            </w:r>
          </w:p>
        </w:tc>
        <w:tc>
          <w:tcPr>
            <w:tcW w:w="2185" w:type="dxa"/>
          </w:tcPr>
          <w:p w:rsidR="00A74FF9" w:rsidRPr="003111CD" w:rsidRDefault="00A74FF9" w:rsidP="00A74FF9">
            <w:pPr>
              <w:rPr>
                <w:rFonts w:asciiTheme="minorHAnsi" w:hAnsiTheme="minorHAnsi"/>
                <w:b/>
                <w:sz w:val="24"/>
                <w:szCs w:val="24"/>
              </w:rPr>
            </w:pPr>
          </w:p>
        </w:tc>
        <w:tc>
          <w:tcPr>
            <w:tcW w:w="2143" w:type="dxa"/>
          </w:tcPr>
          <w:p w:rsidR="00A74FF9" w:rsidRPr="003111CD" w:rsidRDefault="00D34609" w:rsidP="00A74FF9">
            <w:pPr>
              <w:rPr>
                <w:rFonts w:asciiTheme="minorHAnsi" w:hAnsiTheme="minorHAnsi"/>
                <w:b/>
                <w:sz w:val="24"/>
                <w:szCs w:val="24"/>
              </w:rPr>
            </w:pPr>
            <w:r w:rsidRPr="003111CD">
              <w:rPr>
                <w:rFonts w:asciiTheme="minorHAnsi" w:hAnsiTheme="minorHAnsi"/>
                <w:b/>
                <w:sz w:val="24"/>
                <w:szCs w:val="24"/>
              </w:rPr>
              <w:t>HH Learning Collaborative; Behavioral Health Home Learning Collaborative; Community Health Worker Initiative</w:t>
            </w:r>
          </w:p>
        </w:tc>
      </w:tr>
      <w:tr w:rsidR="00A74FF9" w:rsidRPr="003111CD" w:rsidTr="00370F57">
        <w:tc>
          <w:tcPr>
            <w:tcW w:w="1070" w:type="dxa"/>
          </w:tcPr>
          <w:p w:rsidR="00A74FF9" w:rsidRPr="003111CD" w:rsidRDefault="00D34609" w:rsidP="00A74FF9">
            <w:pPr>
              <w:rPr>
                <w:rFonts w:asciiTheme="minorHAnsi" w:hAnsiTheme="minorHAnsi"/>
                <w:sz w:val="24"/>
                <w:szCs w:val="24"/>
              </w:rPr>
            </w:pPr>
            <w:r w:rsidRPr="003111CD">
              <w:rPr>
                <w:rFonts w:asciiTheme="minorHAnsi" w:hAnsiTheme="minorHAnsi"/>
                <w:sz w:val="24"/>
                <w:szCs w:val="24"/>
              </w:rPr>
              <w:t>12/4/13</w:t>
            </w:r>
          </w:p>
        </w:tc>
        <w:tc>
          <w:tcPr>
            <w:tcW w:w="5370" w:type="dxa"/>
          </w:tcPr>
          <w:p w:rsidR="00A74FF9" w:rsidRPr="003111CD" w:rsidRDefault="008E7C02" w:rsidP="00A74FF9">
            <w:pPr>
              <w:rPr>
                <w:rFonts w:asciiTheme="minorHAnsi" w:hAnsiTheme="minorHAnsi"/>
                <w:sz w:val="24"/>
                <w:szCs w:val="24"/>
              </w:rPr>
            </w:pPr>
            <w:r w:rsidRPr="003111CD">
              <w:rPr>
                <w:rFonts w:asciiTheme="minorHAnsi" w:hAnsiTheme="minorHAnsi"/>
                <w:sz w:val="24"/>
                <w:szCs w:val="24"/>
              </w:rPr>
              <w:t>Tracking of short and long term results from the enhanced primary care models is critical to ensure that stakeholders are aware of the value being derived from the models to the Delivery System, Employers, Payers and Government</w:t>
            </w:r>
          </w:p>
        </w:tc>
        <w:tc>
          <w:tcPr>
            <w:tcW w:w="3128" w:type="dxa"/>
          </w:tcPr>
          <w:p w:rsidR="00A74FF9" w:rsidRPr="003111CD" w:rsidRDefault="008E7C02" w:rsidP="00A74FF9">
            <w:pPr>
              <w:rPr>
                <w:rFonts w:asciiTheme="minorHAnsi" w:hAnsiTheme="minorHAnsi"/>
                <w:sz w:val="24"/>
                <w:szCs w:val="24"/>
              </w:rPr>
            </w:pPr>
            <w:r w:rsidRPr="003111CD">
              <w:rPr>
                <w:rFonts w:asciiTheme="minorHAnsi" w:hAnsiTheme="minorHAnsi"/>
                <w:sz w:val="24"/>
                <w:szCs w:val="24"/>
              </w:rPr>
              <w:t>1) Work with existing evaluation teams from the PCMH Pilot and HH Model, as well as SIM evaluation to ensure that short term benefits and results are tracked in a timely way and communicated to stakeholders</w:t>
            </w:r>
          </w:p>
        </w:tc>
        <w:tc>
          <w:tcPr>
            <w:tcW w:w="2185" w:type="dxa"/>
          </w:tcPr>
          <w:p w:rsidR="00A74FF9" w:rsidRPr="003111CD" w:rsidRDefault="00A74FF9" w:rsidP="00A74FF9">
            <w:pPr>
              <w:rPr>
                <w:rFonts w:asciiTheme="minorHAnsi" w:hAnsiTheme="minorHAnsi"/>
                <w:b/>
                <w:sz w:val="24"/>
                <w:szCs w:val="24"/>
              </w:rPr>
            </w:pPr>
          </w:p>
        </w:tc>
        <w:tc>
          <w:tcPr>
            <w:tcW w:w="2143" w:type="dxa"/>
          </w:tcPr>
          <w:p w:rsidR="00A74FF9" w:rsidRPr="003111CD" w:rsidRDefault="00624E3D" w:rsidP="00A74FF9">
            <w:pPr>
              <w:rPr>
                <w:rFonts w:asciiTheme="minorHAnsi" w:hAnsiTheme="minorHAnsi"/>
                <w:b/>
                <w:sz w:val="24"/>
                <w:szCs w:val="24"/>
              </w:rPr>
            </w:pPr>
            <w:r w:rsidRPr="003111CD">
              <w:rPr>
                <w:rFonts w:asciiTheme="minorHAnsi" w:hAnsiTheme="minorHAnsi"/>
                <w:b/>
                <w:sz w:val="24"/>
                <w:szCs w:val="24"/>
              </w:rPr>
              <w:t>HH Learning Collaborative; Muskie; SIM Evaluation Team</w:t>
            </w:r>
          </w:p>
        </w:tc>
      </w:tr>
      <w:tr w:rsidR="003111CD" w:rsidRPr="003111CD" w:rsidTr="00370F57">
        <w:tc>
          <w:tcPr>
            <w:tcW w:w="1070" w:type="dxa"/>
          </w:tcPr>
          <w:p w:rsidR="003111CD" w:rsidRPr="003111CD" w:rsidRDefault="003111CD" w:rsidP="00A74FF9">
            <w:pPr>
              <w:rPr>
                <w:sz w:val="24"/>
                <w:szCs w:val="24"/>
              </w:rPr>
            </w:pPr>
            <w:r>
              <w:rPr>
                <w:sz w:val="24"/>
                <w:szCs w:val="24"/>
              </w:rPr>
              <w:t>12/4/13</w:t>
            </w:r>
          </w:p>
        </w:tc>
        <w:tc>
          <w:tcPr>
            <w:tcW w:w="5370" w:type="dxa"/>
          </w:tcPr>
          <w:p w:rsidR="003111CD" w:rsidRPr="003111CD" w:rsidRDefault="003111CD" w:rsidP="00A74FF9">
            <w:pPr>
              <w:rPr>
                <w:sz w:val="24"/>
                <w:szCs w:val="24"/>
              </w:rPr>
            </w:pPr>
            <w:r w:rsidRPr="003111CD">
              <w:rPr>
                <w:rFonts w:asciiTheme="minorHAnsi" w:hAnsiTheme="minorHAnsi"/>
                <w:sz w:val="24"/>
                <w:szCs w:val="24"/>
              </w:rPr>
              <w:t>Gap in connection of primary care (including PCMH and HH practices) to the Health Information Exchange and the associated functions (e.g. notification and alerting) will limit capability of primary care to attain efficiencies in accordance with the SIM mission/vision and DSR Subcommittee Charge.</w:t>
            </w:r>
          </w:p>
        </w:tc>
        <w:tc>
          <w:tcPr>
            <w:tcW w:w="3128" w:type="dxa"/>
          </w:tcPr>
          <w:p w:rsidR="003111CD" w:rsidRPr="003111CD" w:rsidRDefault="003111CD" w:rsidP="00A74FF9">
            <w:pPr>
              <w:rPr>
                <w:sz w:val="24"/>
                <w:szCs w:val="24"/>
              </w:rPr>
            </w:pPr>
          </w:p>
        </w:tc>
        <w:tc>
          <w:tcPr>
            <w:tcW w:w="2185" w:type="dxa"/>
          </w:tcPr>
          <w:p w:rsidR="003111CD" w:rsidRPr="003111CD" w:rsidRDefault="003111CD" w:rsidP="00A74FF9">
            <w:pPr>
              <w:rPr>
                <w:b/>
                <w:sz w:val="24"/>
                <w:szCs w:val="24"/>
              </w:rPr>
            </w:pPr>
          </w:p>
        </w:tc>
        <w:tc>
          <w:tcPr>
            <w:tcW w:w="2143" w:type="dxa"/>
          </w:tcPr>
          <w:p w:rsidR="003111CD" w:rsidRDefault="003111CD" w:rsidP="00A74FF9">
            <w:pPr>
              <w:rPr>
                <w:rFonts w:asciiTheme="minorHAnsi" w:hAnsiTheme="minorHAnsi"/>
                <w:b/>
                <w:sz w:val="24"/>
                <w:szCs w:val="24"/>
              </w:rPr>
            </w:pPr>
            <w:r>
              <w:rPr>
                <w:rFonts w:asciiTheme="minorHAnsi" w:hAnsiTheme="minorHAnsi"/>
                <w:b/>
                <w:sz w:val="24"/>
                <w:szCs w:val="24"/>
              </w:rPr>
              <w:t>Data Infrastructure Subcommittee</w:t>
            </w:r>
          </w:p>
          <w:p w:rsidR="003111CD" w:rsidRDefault="003111CD" w:rsidP="00A74FF9">
            <w:pPr>
              <w:rPr>
                <w:rFonts w:asciiTheme="minorHAnsi" w:hAnsiTheme="minorHAnsi"/>
                <w:b/>
                <w:sz w:val="24"/>
                <w:szCs w:val="24"/>
              </w:rPr>
            </w:pPr>
          </w:p>
          <w:p w:rsidR="003111CD" w:rsidRPr="003111CD" w:rsidRDefault="003111CD" w:rsidP="00A74FF9">
            <w:pPr>
              <w:rPr>
                <w:rFonts w:asciiTheme="minorHAnsi" w:hAnsiTheme="minorHAnsi"/>
                <w:b/>
                <w:sz w:val="24"/>
                <w:szCs w:val="24"/>
              </w:rPr>
            </w:pPr>
          </w:p>
        </w:tc>
      </w:tr>
      <w:tr w:rsidR="00A74FF9" w:rsidRPr="003111CD" w:rsidTr="00370F57">
        <w:tc>
          <w:tcPr>
            <w:tcW w:w="1070" w:type="dxa"/>
          </w:tcPr>
          <w:p w:rsidR="00A74FF9" w:rsidRPr="003111CD" w:rsidRDefault="00A74FF9" w:rsidP="00A74FF9">
            <w:pPr>
              <w:rPr>
                <w:rFonts w:asciiTheme="minorHAnsi" w:hAnsiTheme="minorHAnsi"/>
                <w:sz w:val="24"/>
                <w:szCs w:val="24"/>
              </w:rPr>
            </w:pPr>
            <w:r w:rsidRPr="003111CD">
              <w:rPr>
                <w:rFonts w:asciiTheme="minorHAnsi" w:hAnsiTheme="minorHAnsi"/>
                <w:sz w:val="24"/>
                <w:szCs w:val="24"/>
              </w:rPr>
              <w:t>11/6/13</w:t>
            </w:r>
          </w:p>
        </w:tc>
        <w:tc>
          <w:tcPr>
            <w:tcW w:w="5370" w:type="dxa"/>
          </w:tcPr>
          <w:p w:rsidR="00A74FF9" w:rsidRPr="003111CD" w:rsidRDefault="00A74FF9" w:rsidP="00A74FF9">
            <w:pPr>
              <w:rPr>
                <w:rFonts w:asciiTheme="minorHAnsi" w:hAnsiTheme="minorHAnsi"/>
                <w:b/>
                <w:sz w:val="24"/>
                <w:szCs w:val="24"/>
              </w:rPr>
            </w:pPr>
            <w:r w:rsidRPr="003111CD">
              <w:rPr>
                <w:rFonts w:asciiTheme="minorHAnsi" w:hAnsiTheme="minorHAnsi"/>
                <w:sz w:val="24"/>
                <w:szCs w:val="24"/>
              </w:rPr>
              <w:t xml:space="preserve">Confusion in language of the Charge:  that Subcommittee members may not have sufficient authority to influence the SIM Initiatives, in part </w:t>
            </w:r>
            <w:r w:rsidRPr="003111CD">
              <w:rPr>
                <w:rFonts w:asciiTheme="minorHAnsi" w:hAnsiTheme="minorHAnsi"/>
                <w:sz w:val="24"/>
                <w:szCs w:val="24"/>
              </w:rPr>
              <w:lastRenderedPageBreak/>
              <w:t>because of their advisory role, and in part because of the reality that some of the Initiatives are already in the Implementation stage.  Given the substantial expertise and skill among our collective members and the intensity of time required to participate in SIM, addressing this concern is critical to sustain engagement. </w:t>
            </w:r>
          </w:p>
        </w:tc>
        <w:tc>
          <w:tcPr>
            <w:tcW w:w="3128" w:type="dxa"/>
          </w:tcPr>
          <w:p w:rsidR="00A74FF9" w:rsidRPr="003111CD" w:rsidRDefault="00A74FF9" w:rsidP="00A74FF9">
            <w:pPr>
              <w:rPr>
                <w:rFonts w:asciiTheme="minorHAnsi" w:hAnsiTheme="minorHAnsi"/>
                <w:b/>
                <w:sz w:val="24"/>
                <w:szCs w:val="24"/>
              </w:rPr>
            </w:pPr>
            <w:r w:rsidRPr="003111CD">
              <w:rPr>
                <w:rFonts w:asciiTheme="minorHAnsi" w:hAnsiTheme="minorHAnsi"/>
                <w:sz w:val="24"/>
                <w:szCs w:val="24"/>
              </w:rPr>
              <w:lastRenderedPageBreak/>
              <w:t xml:space="preserve">1) clarify with the Governance Structure the actual ability of the </w:t>
            </w:r>
            <w:r w:rsidRPr="003111CD">
              <w:rPr>
                <w:rFonts w:asciiTheme="minorHAnsi" w:hAnsiTheme="minorHAnsi"/>
                <w:sz w:val="24"/>
                <w:szCs w:val="24"/>
              </w:rPr>
              <w:lastRenderedPageBreak/>
              <w:t>Subcommittees to influence SIM initiatives, 2) define the tracking and feedback mechanisms for their recommendations (for example, what are the results of their recommendations, and how are they documented and responded to), and 3) to structure my agendas and working sessions to be explicit about the stage of each initiative and what expected actions the Subcommittee has.</w:t>
            </w:r>
          </w:p>
        </w:tc>
        <w:tc>
          <w:tcPr>
            <w:tcW w:w="2185" w:type="dxa"/>
          </w:tcPr>
          <w:p w:rsidR="00A74FF9" w:rsidRPr="003111CD" w:rsidRDefault="00A74FF9" w:rsidP="00A74FF9">
            <w:pPr>
              <w:rPr>
                <w:rFonts w:asciiTheme="minorHAnsi" w:hAnsiTheme="minorHAnsi"/>
                <w:b/>
                <w:sz w:val="24"/>
                <w:szCs w:val="24"/>
              </w:rPr>
            </w:pPr>
            <w:r w:rsidRPr="003111CD">
              <w:rPr>
                <w:rFonts w:asciiTheme="minorHAnsi" w:hAnsiTheme="minorHAnsi"/>
                <w:b/>
                <w:sz w:val="24"/>
                <w:szCs w:val="24"/>
              </w:rPr>
              <w:lastRenderedPageBreak/>
              <w:t xml:space="preserve">Pros: mitigation steps will improve meeting process </w:t>
            </w:r>
            <w:r w:rsidRPr="003111CD">
              <w:rPr>
                <w:rFonts w:asciiTheme="minorHAnsi" w:hAnsiTheme="minorHAnsi"/>
                <w:b/>
                <w:sz w:val="24"/>
                <w:szCs w:val="24"/>
              </w:rPr>
              <w:lastRenderedPageBreak/>
              <w:t>and clarify expected actions for members;</w:t>
            </w:r>
          </w:p>
          <w:p w:rsidR="00A74FF9" w:rsidRPr="003111CD" w:rsidRDefault="00A74FF9" w:rsidP="00A74FF9">
            <w:pPr>
              <w:rPr>
                <w:rFonts w:asciiTheme="minorHAnsi" w:hAnsiTheme="minorHAnsi"/>
                <w:b/>
                <w:sz w:val="24"/>
                <w:szCs w:val="24"/>
              </w:rPr>
            </w:pPr>
            <w:r w:rsidRPr="003111CD">
              <w:rPr>
                <w:rFonts w:asciiTheme="minorHAnsi" w:hAnsiTheme="minorHAnsi"/>
                <w:b/>
                <w:sz w:val="24"/>
                <w:szCs w:val="24"/>
              </w:rPr>
              <w:t>Cons: mitigation may not be sufficient for all members to feel appropriately empowered based on their expectations</w:t>
            </w:r>
          </w:p>
        </w:tc>
        <w:tc>
          <w:tcPr>
            <w:tcW w:w="2143" w:type="dxa"/>
          </w:tcPr>
          <w:p w:rsidR="00A74FF9" w:rsidRPr="003111CD" w:rsidRDefault="00A74FF9" w:rsidP="00A74FF9">
            <w:pPr>
              <w:rPr>
                <w:rFonts w:asciiTheme="minorHAnsi" w:hAnsiTheme="minorHAnsi"/>
                <w:b/>
                <w:sz w:val="24"/>
                <w:szCs w:val="24"/>
              </w:rPr>
            </w:pPr>
            <w:r w:rsidRPr="003111CD">
              <w:rPr>
                <w:rFonts w:asciiTheme="minorHAnsi" w:hAnsiTheme="minorHAnsi"/>
                <w:b/>
                <w:sz w:val="24"/>
                <w:szCs w:val="24"/>
              </w:rPr>
              <w:lastRenderedPageBreak/>
              <w:t>SIM Project Management</w:t>
            </w:r>
          </w:p>
          <w:p w:rsidR="00A74FF9" w:rsidRPr="003111CD" w:rsidRDefault="00A74FF9" w:rsidP="00A74FF9">
            <w:pPr>
              <w:rPr>
                <w:rFonts w:asciiTheme="minorHAnsi" w:hAnsiTheme="minorHAnsi"/>
                <w:b/>
                <w:sz w:val="24"/>
                <w:szCs w:val="24"/>
              </w:rPr>
            </w:pPr>
          </w:p>
          <w:p w:rsidR="00A74FF9" w:rsidRPr="003111CD" w:rsidRDefault="00A74FF9" w:rsidP="00A74FF9">
            <w:pPr>
              <w:rPr>
                <w:rFonts w:asciiTheme="minorHAnsi" w:hAnsiTheme="minorHAnsi"/>
                <w:b/>
                <w:sz w:val="24"/>
                <w:szCs w:val="24"/>
              </w:rPr>
            </w:pPr>
          </w:p>
        </w:tc>
      </w:tr>
      <w:tr w:rsidR="00A74FF9" w:rsidRPr="003111CD" w:rsidTr="00370F57">
        <w:tc>
          <w:tcPr>
            <w:tcW w:w="1070" w:type="dxa"/>
          </w:tcPr>
          <w:p w:rsidR="00A74FF9" w:rsidRPr="003111CD" w:rsidRDefault="00A74FF9" w:rsidP="00A74FF9">
            <w:pPr>
              <w:rPr>
                <w:rFonts w:asciiTheme="minorHAnsi" w:hAnsiTheme="minorHAnsi"/>
                <w:sz w:val="24"/>
                <w:szCs w:val="24"/>
              </w:rPr>
            </w:pPr>
            <w:r w:rsidRPr="003111CD">
              <w:rPr>
                <w:rFonts w:asciiTheme="minorHAnsi" w:hAnsiTheme="minorHAnsi"/>
                <w:sz w:val="24"/>
                <w:szCs w:val="24"/>
              </w:rPr>
              <w:lastRenderedPageBreak/>
              <w:t>11/6/13</w:t>
            </w:r>
          </w:p>
        </w:tc>
        <w:tc>
          <w:tcPr>
            <w:tcW w:w="5370" w:type="dxa"/>
          </w:tcPr>
          <w:p w:rsidR="00A74FF9" w:rsidRPr="003111CD" w:rsidRDefault="00A74FF9" w:rsidP="00A74FF9">
            <w:pPr>
              <w:rPr>
                <w:rFonts w:asciiTheme="minorHAnsi" w:hAnsiTheme="minorHAnsi"/>
                <w:b/>
                <w:sz w:val="24"/>
                <w:szCs w:val="24"/>
              </w:rPr>
            </w:pPr>
            <w:r w:rsidRPr="003111CD">
              <w:rPr>
                <w:rFonts w:asciiTheme="minorHAnsi" w:hAnsiTheme="minorHAnsi"/>
                <w:sz w:val="24"/>
                <w:szCs w:val="24"/>
              </w:rPr>
              <w:t>Concerns that ability of the Subcommittee to influence authentic consumer engagement of initiatives under SIM is limited.  A specific example was a complaint that the Behavioral Health Home RFA development process did not authentically engage consumers in the design of the BHH.  What can be done from the Subcommittee perspective and the larger SIM governance structure to ensure that consumers are adequately involved going forward, and in other initiatives under SIM – even if those are beyond the control (as this one is) of the Subcommittee’s scope.</w:t>
            </w:r>
          </w:p>
        </w:tc>
        <w:tc>
          <w:tcPr>
            <w:tcW w:w="3128" w:type="dxa"/>
          </w:tcPr>
          <w:p w:rsidR="00A74FF9" w:rsidRPr="003111CD" w:rsidRDefault="00A74FF9" w:rsidP="00A74FF9">
            <w:pPr>
              <w:rPr>
                <w:rFonts w:asciiTheme="minorHAnsi" w:hAnsiTheme="minorHAnsi"/>
                <w:sz w:val="24"/>
                <w:szCs w:val="24"/>
              </w:rPr>
            </w:pPr>
            <w:r w:rsidRPr="003111CD">
              <w:rPr>
                <w:rFonts w:asciiTheme="minorHAnsi" w:hAnsiTheme="minorHAnsi"/>
                <w:sz w:val="24"/>
                <w:szCs w:val="24"/>
              </w:rPr>
              <w:t>1) ensure that in our review of SIM Initiatives on the Delivery System Reform Subcommittee, we include a focused criteria/framework consideration of authentic consumer engagement, and document any recommendations that result; 2) to bring the concerns to the Governance Structure to be addressed and responded to, and 3) to appropriately track and close the results of the recommendations and what was done with them.</w:t>
            </w:r>
          </w:p>
          <w:p w:rsidR="00A74FF9" w:rsidRPr="003111CD" w:rsidRDefault="00A74FF9" w:rsidP="00A74FF9">
            <w:pPr>
              <w:ind w:left="360"/>
              <w:rPr>
                <w:rFonts w:asciiTheme="minorHAnsi" w:hAnsiTheme="minorHAnsi"/>
                <w:b/>
                <w:sz w:val="24"/>
                <w:szCs w:val="24"/>
              </w:rPr>
            </w:pPr>
          </w:p>
        </w:tc>
        <w:tc>
          <w:tcPr>
            <w:tcW w:w="2185" w:type="dxa"/>
          </w:tcPr>
          <w:p w:rsidR="00A74FF9" w:rsidRPr="003111CD" w:rsidRDefault="00A74FF9" w:rsidP="00A74FF9">
            <w:pPr>
              <w:rPr>
                <w:rFonts w:asciiTheme="minorHAnsi" w:hAnsiTheme="minorHAnsi"/>
                <w:b/>
                <w:sz w:val="24"/>
                <w:szCs w:val="24"/>
              </w:rPr>
            </w:pPr>
            <w:r w:rsidRPr="003111CD">
              <w:rPr>
                <w:rFonts w:asciiTheme="minorHAnsi" w:hAnsiTheme="minorHAnsi"/>
                <w:b/>
                <w:sz w:val="24"/>
                <w:szCs w:val="24"/>
              </w:rPr>
              <w:t xml:space="preserve">Pros: mitigation steps will improve meeting process and clarify results of subcommittee actions; </w:t>
            </w:r>
          </w:p>
          <w:p w:rsidR="00A74FF9" w:rsidRPr="003111CD" w:rsidRDefault="00A74FF9" w:rsidP="00A74FF9">
            <w:pPr>
              <w:rPr>
                <w:rFonts w:asciiTheme="minorHAnsi" w:hAnsiTheme="minorHAnsi"/>
                <w:b/>
                <w:sz w:val="24"/>
                <w:szCs w:val="24"/>
              </w:rPr>
            </w:pPr>
            <w:r w:rsidRPr="003111CD">
              <w:rPr>
                <w:rFonts w:asciiTheme="minorHAnsi" w:hAnsiTheme="minorHAnsi"/>
                <w:b/>
                <w:sz w:val="24"/>
                <w:szCs w:val="24"/>
              </w:rPr>
              <w:t>Cons: mitigation may not sufficiently address consumer engagement concerns across SIM initiatives</w:t>
            </w:r>
          </w:p>
        </w:tc>
        <w:tc>
          <w:tcPr>
            <w:tcW w:w="2143" w:type="dxa"/>
          </w:tcPr>
          <w:p w:rsidR="00A74FF9" w:rsidRPr="003111CD" w:rsidRDefault="00A74FF9" w:rsidP="00A74FF9">
            <w:pPr>
              <w:rPr>
                <w:rFonts w:asciiTheme="minorHAnsi" w:hAnsiTheme="minorHAnsi"/>
                <w:b/>
                <w:sz w:val="24"/>
                <w:szCs w:val="24"/>
              </w:rPr>
            </w:pPr>
            <w:r w:rsidRPr="003111CD">
              <w:rPr>
                <w:rFonts w:asciiTheme="minorHAnsi" w:hAnsiTheme="minorHAnsi"/>
                <w:b/>
                <w:sz w:val="24"/>
                <w:szCs w:val="24"/>
              </w:rPr>
              <w:t>SIM Project Management</w:t>
            </w:r>
          </w:p>
        </w:tc>
      </w:tr>
      <w:tr w:rsidR="00BF3FF0" w:rsidRPr="003111CD" w:rsidTr="00370F57">
        <w:tc>
          <w:tcPr>
            <w:tcW w:w="1070" w:type="dxa"/>
          </w:tcPr>
          <w:p w:rsidR="00BF3FF0" w:rsidRPr="003111CD" w:rsidRDefault="00BF3FF0" w:rsidP="00A74FF9">
            <w:pPr>
              <w:rPr>
                <w:rFonts w:asciiTheme="minorHAnsi" w:hAnsiTheme="minorHAnsi"/>
                <w:sz w:val="24"/>
                <w:szCs w:val="24"/>
              </w:rPr>
            </w:pPr>
            <w:r w:rsidRPr="003111CD">
              <w:rPr>
                <w:rFonts w:asciiTheme="minorHAnsi" w:hAnsiTheme="minorHAnsi"/>
                <w:sz w:val="24"/>
                <w:szCs w:val="24"/>
              </w:rPr>
              <w:t>10/31/13</w:t>
            </w:r>
          </w:p>
        </w:tc>
        <w:tc>
          <w:tcPr>
            <w:tcW w:w="5370" w:type="dxa"/>
          </w:tcPr>
          <w:p w:rsidR="00BF3FF0" w:rsidRPr="003111CD" w:rsidRDefault="00BF3FF0" w:rsidP="00A74FF9">
            <w:pPr>
              <w:rPr>
                <w:rFonts w:asciiTheme="minorHAnsi" w:hAnsiTheme="minorHAnsi"/>
                <w:sz w:val="24"/>
                <w:szCs w:val="24"/>
              </w:rPr>
            </w:pPr>
            <w:r w:rsidRPr="003111CD">
              <w:rPr>
                <w:rFonts w:asciiTheme="minorHAnsi" w:hAnsiTheme="minorHAnsi"/>
                <w:sz w:val="24"/>
                <w:szCs w:val="24"/>
              </w:rPr>
              <w:t xml:space="preserve">Large size of the group and potential Ad Hoc and </w:t>
            </w:r>
            <w:r w:rsidRPr="003111CD">
              <w:rPr>
                <w:rFonts w:asciiTheme="minorHAnsi" w:hAnsiTheme="minorHAnsi"/>
                <w:sz w:val="24"/>
                <w:szCs w:val="24"/>
              </w:rPr>
              <w:lastRenderedPageBreak/>
              <w:t xml:space="preserve">Interested Parties may complicate meeting process and make the Subcommittee deliberations </w:t>
            </w:r>
            <w:proofErr w:type="spellStart"/>
            <w:r w:rsidRPr="003111CD">
              <w:rPr>
                <w:rFonts w:asciiTheme="minorHAnsi" w:hAnsiTheme="minorHAnsi"/>
                <w:sz w:val="24"/>
                <w:szCs w:val="24"/>
              </w:rPr>
              <w:t>unmanagable</w:t>
            </w:r>
            <w:proofErr w:type="spellEnd"/>
          </w:p>
        </w:tc>
        <w:tc>
          <w:tcPr>
            <w:tcW w:w="3128" w:type="dxa"/>
          </w:tcPr>
          <w:p w:rsidR="00BF3FF0" w:rsidRPr="003111CD" w:rsidRDefault="00BF3FF0" w:rsidP="00BF3FF0">
            <w:pPr>
              <w:rPr>
                <w:rFonts w:asciiTheme="minorHAnsi" w:hAnsiTheme="minorHAnsi"/>
                <w:sz w:val="24"/>
                <w:szCs w:val="24"/>
              </w:rPr>
            </w:pPr>
            <w:r w:rsidRPr="003111CD">
              <w:rPr>
                <w:rFonts w:asciiTheme="minorHAnsi" w:hAnsiTheme="minorHAnsi"/>
                <w:sz w:val="24"/>
                <w:szCs w:val="24"/>
              </w:rPr>
              <w:lastRenderedPageBreak/>
              <w:t xml:space="preserve">1) Create a process to </w:t>
            </w:r>
            <w:r w:rsidRPr="003111CD">
              <w:rPr>
                <w:rFonts w:asciiTheme="minorHAnsi" w:hAnsiTheme="minorHAnsi"/>
                <w:sz w:val="24"/>
                <w:szCs w:val="24"/>
              </w:rPr>
              <w:lastRenderedPageBreak/>
              <w:t>identify Core and Ad Hoc consensus voting members clearly for each meeting</w:t>
            </w:r>
          </w:p>
        </w:tc>
        <w:tc>
          <w:tcPr>
            <w:tcW w:w="2185" w:type="dxa"/>
          </w:tcPr>
          <w:p w:rsidR="00BF3FF0" w:rsidRPr="003111CD" w:rsidRDefault="00BF3FF0" w:rsidP="00BF3FF0">
            <w:pPr>
              <w:rPr>
                <w:rFonts w:asciiTheme="minorHAnsi" w:hAnsiTheme="minorHAnsi"/>
                <w:b/>
                <w:sz w:val="24"/>
                <w:szCs w:val="24"/>
              </w:rPr>
            </w:pPr>
            <w:r w:rsidRPr="003111CD">
              <w:rPr>
                <w:rFonts w:asciiTheme="minorHAnsi" w:hAnsiTheme="minorHAnsi"/>
                <w:b/>
                <w:sz w:val="24"/>
                <w:szCs w:val="24"/>
              </w:rPr>
              <w:lastRenderedPageBreak/>
              <w:t xml:space="preserve">Pros: will focus and </w:t>
            </w:r>
            <w:r w:rsidRPr="003111CD">
              <w:rPr>
                <w:rFonts w:asciiTheme="minorHAnsi" w:hAnsiTheme="minorHAnsi"/>
                <w:b/>
                <w:sz w:val="24"/>
                <w:szCs w:val="24"/>
              </w:rPr>
              <w:lastRenderedPageBreak/>
              <w:t>support meeting process</w:t>
            </w:r>
          </w:p>
          <w:p w:rsidR="00BF3FF0" w:rsidRPr="003111CD" w:rsidRDefault="00BF3FF0" w:rsidP="00BF3FF0">
            <w:pPr>
              <w:rPr>
                <w:rFonts w:asciiTheme="minorHAnsi" w:hAnsiTheme="minorHAnsi"/>
                <w:b/>
                <w:sz w:val="24"/>
                <w:szCs w:val="24"/>
              </w:rPr>
            </w:pPr>
            <w:r w:rsidRPr="003111CD">
              <w:rPr>
                <w:rFonts w:asciiTheme="minorHAnsi" w:hAnsiTheme="minorHAnsi"/>
                <w:b/>
                <w:sz w:val="24"/>
                <w:szCs w:val="24"/>
              </w:rPr>
              <w:t>Cons: may inadvertently limit engagement of Interested parties</w:t>
            </w:r>
          </w:p>
        </w:tc>
        <w:tc>
          <w:tcPr>
            <w:tcW w:w="2143" w:type="dxa"/>
          </w:tcPr>
          <w:p w:rsidR="00BF3FF0" w:rsidRPr="003111CD" w:rsidRDefault="00A07839" w:rsidP="00A74FF9">
            <w:pPr>
              <w:rPr>
                <w:rFonts w:asciiTheme="minorHAnsi" w:hAnsiTheme="minorHAnsi"/>
                <w:b/>
                <w:sz w:val="24"/>
                <w:szCs w:val="24"/>
              </w:rPr>
            </w:pPr>
            <w:r w:rsidRPr="003111CD">
              <w:rPr>
                <w:rFonts w:asciiTheme="minorHAnsi" w:hAnsiTheme="minorHAnsi"/>
                <w:b/>
                <w:sz w:val="24"/>
                <w:szCs w:val="24"/>
              </w:rPr>
              <w:lastRenderedPageBreak/>
              <w:t xml:space="preserve">Subcommittee </w:t>
            </w:r>
            <w:r w:rsidRPr="003111CD">
              <w:rPr>
                <w:rFonts w:asciiTheme="minorHAnsi" w:hAnsiTheme="minorHAnsi"/>
                <w:b/>
                <w:sz w:val="24"/>
                <w:szCs w:val="24"/>
              </w:rPr>
              <w:lastRenderedPageBreak/>
              <w:t>Chair</w:t>
            </w:r>
          </w:p>
        </w:tc>
      </w:tr>
    </w:tbl>
    <w:p w:rsidR="00A74FF9" w:rsidRPr="003111CD" w:rsidRDefault="00A74FF9" w:rsidP="00B55426">
      <w:pPr>
        <w:jc w:val="left"/>
        <w:rPr>
          <w:rFonts w:cs="Arial"/>
          <w:b/>
          <w:sz w:val="24"/>
          <w:szCs w:val="24"/>
        </w:rPr>
      </w:pPr>
    </w:p>
    <w:p w:rsidR="00A74FF9" w:rsidRPr="003111CD" w:rsidRDefault="00A74FF9" w:rsidP="00B55426">
      <w:pPr>
        <w:jc w:val="left"/>
        <w:rPr>
          <w:rFonts w:cs="Arial"/>
          <w:b/>
          <w:sz w:val="24"/>
          <w:szCs w:val="24"/>
        </w:rPr>
      </w:pPr>
    </w:p>
    <w:tbl>
      <w:tblPr>
        <w:tblStyle w:val="TableGrid2"/>
        <w:tblW w:w="0" w:type="auto"/>
        <w:tblLook w:val="04A0" w:firstRow="1" w:lastRow="0" w:firstColumn="1" w:lastColumn="0" w:noHBand="0" w:noVBand="1"/>
      </w:tblPr>
      <w:tblGrid>
        <w:gridCol w:w="5328"/>
        <w:gridCol w:w="8370"/>
      </w:tblGrid>
      <w:tr w:rsidR="00A57282" w:rsidRPr="003111CD" w:rsidTr="003111CD">
        <w:tc>
          <w:tcPr>
            <w:tcW w:w="13698" w:type="dxa"/>
            <w:gridSpan w:val="2"/>
            <w:shd w:val="clear" w:color="auto" w:fill="D9D9D9" w:themeFill="background1" w:themeFillShade="D9"/>
          </w:tcPr>
          <w:p w:rsidR="00A57282" w:rsidRPr="003111CD" w:rsidRDefault="00A57282" w:rsidP="00A57282">
            <w:pPr>
              <w:rPr>
                <w:rFonts w:asciiTheme="minorHAnsi" w:hAnsiTheme="minorHAnsi"/>
                <w:b/>
                <w:sz w:val="24"/>
                <w:szCs w:val="24"/>
              </w:rPr>
            </w:pPr>
            <w:r w:rsidRPr="003111CD">
              <w:rPr>
                <w:rFonts w:asciiTheme="minorHAnsi" w:hAnsiTheme="minorHAnsi"/>
                <w:b/>
                <w:sz w:val="24"/>
                <w:szCs w:val="24"/>
              </w:rPr>
              <w:t>Dependencies Tracking</w:t>
            </w:r>
          </w:p>
        </w:tc>
      </w:tr>
      <w:tr w:rsidR="00A57282" w:rsidRPr="003111CD" w:rsidTr="003111CD">
        <w:tc>
          <w:tcPr>
            <w:tcW w:w="5328" w:type="dxa"/>
          </w:tcPr>
          <w:p w:rsidR="00A57282" w:rsidRPr="003111CD" w:rsidRDefault="00A57282" w:rsidP="00A57282">
            <w:pPr>
              <w:rPr>
                <w:rFonts w:asciiTheme="minorHAnsi" w:hAnsiTheme="minorHAnsi"/>
                <w:b/>
                <w:sz w:val="24"/>
                <w:szCs w:val="24"/>
              </w:rPr>
            </w:pPr>
            <w:r w:rsidRPr="003111CD">
              <w:rPr>
                <w:rFonts w:asciiTheme="minorHAnsi" w:hAnsiTheme="minorHAnsi"/>
                <w:b/>
                <w:sz w:val="24"/>
                <w:szCs w:val="24"/>
              </w:rPr>
              <w:t>Payment Reform</w:t>
            </w:r>
          </w:p>
        </w:tc>
        <w:tc>
          <w:tcPr>
            <w:tcW w:w="8370" w:type="dxa"/>
          </w:tcPr>
          <w:p w:rsidR="00A57282" w:rsidRPr="003111CD" w:rsidRDefault="00A57282" w:rsidP="00A57282">
            <w:pPr>
              <w:rPr>
                <w:rFonts w:asciiTheme="minorHAnsi" w:hAnsiTheme="minorHAnsi"/>
                <w:b/>
                <w:sz w:val="24"/>
                <w:szCs w:val="24"/>
              </w:rPr>
            </w:pPr>
            <w:r w:rsidRPr="003111CD">
              <w:rPr>
                <w:rFonts w:asciiTheme="minorHAnsi" w:hAnsiTheme="minorHAnsi"/>
                <w:b/>
                <w:sz w:val="24"/>
                <w:szCs w:val="24"/>
              </w:rPr>
              <w:t>Data Infrastructure</w:t>
            </w:r>
          </w:p>
        </w:tc>
      </w:tr>
      <w:tr w:rsidR="00A57282" w:rsidRPr="003111CD" w:rsidTr="003111CD">
        <w:tc>
          <w:tcPr>
            <w:tcW w:w="5328" w:type="dxa"/>
          </w:tcPr>
          <w:p w:rsidR="00A57282" w:rsidRPr="003111CD" w:rsidRDefault="00987715" w:rsidP="00D30319">
            <w:pPr>
              <w:rPr>
                <w:rFonts w:asciiTheme="minorHAnsi" w:hAnsiTheme="minorHAnsi"/>
                <w:sz w:val="24"/>
                <w:szCs w:val="24"/>
              </w:rPr>
            </w:pPr>
            <w:r w:rsidRPr="003111CD">
              <w:rPr>
                <w:rFonts w:asciiTheme="minorHAnsi" w:hAnsiTheme="minorHAnsi"/>
                <w:sz w:val="24"/>
                <w:szCs w:val="24"/>
              </w:rPr>
              <w:t xml:space="preserve">Critical to ensure that </w:t>
            </w:r>
            <w:r w:rsidR="00D30319" w:rsidRPr="003111CD">
              <w:rPr>
                <w:rFonts w:asciiTheme="minorHAnsi" w:hAnsiTheme="minorHAnsi"/>
                <w:sz w:val="24"/>
                <w:szCs w:val="24"/>
              </w:rPr>
              <w:t>the</w:t>
            </w:r>
            <w:r w:rsidRPr="003111CD">
              <w:rPr>
                <w:rFonts w:asciiTheme="minorHAnsi" w:hAnsiTheme="minorHAnsi"/>
                <w:sz w:val="24"/>
                <w:szCs w:val="24"/>
              </w:rPr>
              <w:t xml:space="preserve"> enhanced primary care payment is continued through the duration of SIM</w:t>
            </w:r>
            <w:r w:rsidR="00201656" w:rsidRPr="003111CD">
              <w:rPr>
                <w:rFonts w:asciiTheme="minorHAnsi" w:hAnsiTheme="minorHAnsi"/>
                <w:sz w:val="24"/>
                <w:szCs w:val="24"/>
              </w:rPr>
              <w:t xml:space="preserve"> in order to sustain transformation in primary care and delivery system</w:t>
            </w:r>
          </w:p>
        </w:tc>
        <w:tc>
          <w:tcPr>
            <w:tcW w:w="8370" w:type="dxa"/>
          </w:tcPr>
          <w:p w:rsidR="00A57282" w:rsidRPr="003111CD" w:rsidRDefault="00987715" w:rsidP="00A57282">
            <w:pPr>
              <w:rPr>
                <w:rFonts w:asciiTheme="minorHAnsi" w:hAnsiTheme="minorHAnsi"/>
                <w:sz w:val="24"/>
                <w:szCs w:val="24"/>
              </w:rPr>
            </w:pPr>
            <w:r w:rsidRPr="003111CD">
              <w:rPr>
                <w:rFonts w:asciiTheme="minorHAnsi" w:hAnsiTheme="minorHAnsi"/>
                <w:sz w:val="24"/>
                <w:szCs w:val="24"/>
              </w:rPr>
              <w:t>Gap in connection of primary care (including PCMH and HH practices) to the Health Information Exchange and the associated functions (e.g. notification and alerting) will limit capability of primary care to attain efficiencies</w:t>
            </w:r>
            <w:r w:rsidR="00EF3401" w:rsidRPr="003111CD">
              <w:rPr>
                <w:rFonts w:asciiTheme="minorHAnsi" w:hAnsiTheme="minorHAnsi"/>
                <w:sz w:val="24"/>
                <w:szCs w:val="24"/>
              </w:rPr>
              <w:t xml:space="preserve"> in accordance with the SIM mission/vision and DSR Subcommittee Charge</w:t>
            </w:r>
            <w:r w:rsidRPr="003111CD">
              <w:rPr>
                <w:rFonts w:asciiTheme="minorHAnsi" w:hAnsiTheme="minorHAnsi"/>
                <w:sz w:val="24"/>
                <w:szCs w:val="24"/>
              </w:rPr>
              <w:t>.</w:t>
            </w:r>
          </w:p>
        </w:tc>
      </w:tr>
      <w:tr w:rsidR="00A57282" w:rsidRPr="003111CD" w:rsidTr="003111CD">
        <w:tc>
          <w:tcPr>
            <w:tcW w:w="5328" w:type="dxa"/>
          </w:tcPr>
          <w:p w:rsidR="00A57282" w:rsidRPr="003111CD" w:rsidRDefault="00987715" w:rsidP="00A57282">
            <w:pPr>
              <w:rPr>
                <w:rFonts w:asciiTheme="minorHAnsi" w:hAnsiTheme="minorHAnsi"/>
                <w:sz w:val="24"/>
                <w:szCs w:val="24"/>
              </w:rPr>
            </w:pPr>
            <w:r w:rsidRPr="003111CD">
              <w:rPr>
                <w:rFonts w:asciiTheme="minorHAnsi" w:hAnsiTheme="minorHAnsi"/>
                <w:sz w:val="24"/>
                <w:szCs w:val="24"/>
              </w:rPr>
              <w:t>Payment models and structure of reimbursement for Community Health Worker Pilots</w:t>
            </w:r>
          </w:p>
        </w:tc>
        <w:tc>
          <w:tcPr>
            <w:tcW w:w="8370" w:type="dxa"/>
          </w:tcPr>
          <w:p w:rsidR="00A57282" w:rsidRPr="003111CD" w:rsidRDefault="00A57282" w:rsidP="00A57282">
            <w:pPr>
              <w:rPr>
                <w:rFonts w:asciiTheme="minorHAnsi" w:hAnsiTheme="minorHAnsi"/>
                <w:b/>
                <w:sz w:val="24"/>
                <w:szCs w:val="24"/>
              </w:rPr>
            </w:pPr>
          </w:p>
        </w:tc>
      </w:tr>
    </w:tbl>
    <w:p w:rsidR="00A74FF9" w:rsidRPr="003111CD" w:rsidRDefault="00A74FF9" w:rsidP="00B55426">
      <w:pPr>
        <w:jc w:val="left"/>
        <w:rPr>
          <w:rFonts w:cs="Arial"/>
          <w:b/>
          <w:sz w:val="24"/>
          <w:szCs w:val="24"/>
        </w:rPr>
      </w:pPr>
    </w:p>
    <w:p w:rsidR="00A74FF9" w:rsidRPr="003111CD" w:rsidRDefault="00A74FF9" w:rsidP="00B55426">
      <w:pPr>
        <w:jc w:val="left"/>
        <w:rPr>
          <w:rFonts w:cs="Arial"/>
          <w:b/>
          <w:sz w:val="24"/>
          <w:szCs w:val="24"/>
        </w:rPr>
      </w:pPr>
    </w:p>
    <w:p w:rsidR="008A07E3" w:rsidRPr="003111CD" w:rsidRDefault="008A07E3" w:rsidP="00433EB8">
      <w:pPr>
        <w:jc w:val="left"/>
        <w:rPr>
          <w:rFonts w:cs="Arial"/>
          <w:sz w:val="24"/>
          <w:szCs w:val="24"/>
        </w:rPr>
      </w:pPr>
    </w:p>
    <w:sectPr w:rsidR="008A07E3" w:rsidRPr="003111CD" w:rsidSect="005261E9">
      <w:type w:val="continuous"/>
      <w:pgSz w:w="15840" w:h="12240" w:orient="landscape"/>
      <w:pgMar w:top="900" w:right="72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702" w:rsidRDefault="004A7702" w:rsidP="005261E9">
      <w:r>
        <w:separator/>
      </w:r>
    </w:p>
  </w:endnote>
  <w:endnote w:type="continuationSeparator" w:id="0">
    <w:p w:rsidR="004A7702" w:rsidRDefault="004A7702" w:rsidP="00526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268" w:rsidRPr="005261E9" w:rsidRDefault="00772268" w:rsidP="005261E9">
    <w:pPr>
      <w:pStyle w:val="Footer"/>
      <w:tabs>
        <w:tab w:val="clear" w:pos="4680"/>
        <w:tab w:val="clear" w:pos="9360"/>
      </w:tabs>
      <w:rPr>
        <w:color w:val="808080" w:themeColor="background1" w:themeShade="80"/>
        <w:sz w:val="20"/>
        <w:szCs w:val="20"/>
      </w:rPr>
    </w:pPr>
    <w:r w:rsidRPr="005261E9">
      <w:rPr>
        <w:color w:val="808080" w:themeColor="background1" w:themeShade="80"/>
        <w:sz w:val="20"/>
        <w:szCs w:val="20"/>
      </w:rPr>
      <w:t xml:space="preserve">Page </w:t>
    </w:r>
    <w:r w:rsidRPr="005261E9">
      <w:rPr>
        <w:color w:val="808080" w:themeColor="background1" w:themeShade="80"/>
        <w:sz w:val="20"/>
        <w:szCs w:val="20"/>
      </w:rPr>
      <w:fldChar w:fldCharType="begin"/>
    </w:r>
    <w:r w:rsidRPr="005261E9">
      <w:rPr>
        <w:color w:val="808080" w:themeColor="background1" w:themeShade="80"/>
        <w:sz w:val="20"/>
        <w:szCs w:val="20"/>
      </w:rPr>
      <w:instrText xml:space="preserve"> PAGE  \* Arabic  \* MERGEFORMAT </w:instrText>
    </w:r>
    <w:r w:rsidRPr="005261E9">
      <w:rPr>
        <w:color w:val="808080" w:themeColor="background1" w:themeShade="80"/>
        <w:sz w:val="20"/>
        <w:szCs w:val="20"/>
      </w:rPr>
      <w:fldChar w:fldCharType="separate"/>
    </w:r>
    <w:r w:rsidR="001D5C02">
      <w:rPr>
        <w:noProof/>
        <w:color w:val="808080" w:themeColor="background1" w:themeShade="80"/>
        <w:sz w:val="20"/>
        <w:szCs w:val="20"/>
      </w:rPr>
      <w:t>1</w:t>
    </w:r>
    <w:r w:rsidRPr="005261E9">
      <w:rPr>
        <w:color w:val="808080" w:themeColor="background1" w:themeShade="80"/>
        <w:sz w:val="20"/>
        <w:szCs w:val="20"/>
      </w:rPr>
      <w:fldChar w:fldCharType="end"/>
    </w:r>
    <w:r w:rsidRPr="005261E9">
      <w:rPr>
        <w:color w:val="808080" w:themeColor="background1" w:themeShade="80"/>
        <w:sz w:val="20"/>
        <w:szCs w:val="20"/>
      </w:rPr>
      <w:t xml:space="preserve"> of </w:t>
    </w:r>
    <w:r w:rsidRPr="005261E9">
      <w:rPr>
        <w:color w:val="808080" w:themeColor="background1" w:themeShade="80"/>
        <w:sz w:val="20"/>
        <w:szCs w:val="20"/>
      </w:rPr>
      <w:fldChar w:fldCharType="begin"/>
    </w:r>
    <w:r w:rsidRPr="005261E9">
      <w:rPr>
        <w:color w:val="808080" w:themeColor="background1" w:themeShade="80"/>
        <w:sz w:val="20"/>
        <w:szCs w:val="20"/>
      </w:rPr>
      <w:instrText xml:space="preserve"> NUMPAGES  \* Arabic  \* MERGEFORMAT </w:instrText>
    </w:r>
    <w:r w:rsidRPr="005261E9">
      <w:rPr>
        <w:color w:val="808080" w:themeColor="background1" w:themeShade="80"/>
        <w:sz w:val="20"/>
        <w:szCs w:val="20"/>
      </w:rPr>
      <w:fldChar w:fldCharType="separate"/>
    </w:r>
    <w:r w:rsidR="001D5C02">
      <w:rPr>
        <w:noProof/>
        <w:color w:val="808080" w:themeColor="background1" w:themeShade="80"/>
        <w:sz w:val="20"/>
        <w:szCs w:val="20"/>
      </w:rPr>
      <w:t>4</w:t>
    </w:r>
    <w:r w:rsidRPr="005261E9">
      <w:rPr>
        <w:color w:val="808080" w:themeColor="background1" w:themeShade="8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702" w:rsidRDefault="004A7702" w:rsidP="005261E9">
      <w:r>
        <w:separator/>
      </w:r>
    </w:p>
  </w:footnote>
  <w:footnote w:type="continuationSeparator" w:id="0">
    <w:p w:rsidR="004A7702" w:rsidRDefault="004A7702" w:rsidP="005261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970350"/>
      <w:docPartObj>
        <w:docPartGallery w:val="Watermarks"/>
        <w:docPartUnique/>
      </w:docPartObj>
    </w:sdtPr>
    <w:sdtEndPr/>
    <w:sdtContent>
      <w:p w:rsidR="00772268" w:rsidRDefault="001D5C02">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7AFF"/>
    <w:multiLevelType w:val="hybridMultilevel"/>
    <w:tmpl w:val="94D2C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4024A"/>
    <w:multiLevelType w:val="hybridMultilevel"/>
    <w:tmpl w:val="BB426780"/>
    <w:lvl w:ilvl="0" w:tplc="D2D24C30">
      <w:start w:val="1"/>
      <w:numFmt w:val="decimal"/>
      <w:lvlText w:val="%1."/>
      <w:lvlJc w:val="left"/>
      <w:pPr>
        <w:ind w:left="1080" w:hanging="360"/>
      </w:pPr>
      <w:rPr>
        <w:rFonts w:asciiTheme="minorHAnsi" w:eastAsiaTheme="minorHAnsi" w:hAnsiTheme="minorHAnsi" w:cstheme="minorHAns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5B762D"/>
    <w:multiLevelType w:val="hybridMultilevel"/>
    <w:tmpl w:val="F04415C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AC71571"/>
    <w:multiLevelType w:val="hybridMultilevel"/>
    <w:tmpl w:val="3662A2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7E6F93"/>
    <w:multiLevelType w:val="hybridMultilevel"/>
    <w:tmpl w:val="3D4CE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7258C5"/>
    <w:multiLevelType w:val="hybridMultilevel"/>
    <w:tmpl w:val="EF763156"/>
    <w:lvl w:ilvl="0" w:tplc="E42AC7A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nsid w:val="13C22693"/>
    <w:multiLevelType w:val="hybridMultilevel"/>
    <w:tmpl w:val="11C035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CE36722"/>
    <w:multiLevelType w:val="hybridMultilevel"/>
    <w:tmpl w:val="35BCD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C469C4"/>
    <w:multiLevelType w:val="hybridMultilevel"/>
    <w:tmpl w:val="8B2A3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010BF8"/>
    <w:multiLevelType w:val="hybridMultilevel"/>
    <w:tmpl w:val="A17C9BA6"/>
    <w:lvl w:ilvl="0" w:tplc="D2D24C30">
      <w:start w:val="1"/>
      <w:numFmt w:val="decimal"/>
      <w:lvlText w:val="%1."/>
      <w:lvlJc w:val="left"/>
      <w:pPr>
        <w:ind w:left="720" w:hanging="360"/>
      </w:pPr>
      <w:rPr>
        <w:rFonts w:asciiTheme="minorHAnsi" w:eastAsia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7B4ECA"/>
    <w:multiLevelType w:val="hybridMultilevel"/>
    <w:tmpl w:val="C360B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B17FD5"/>
    <w:multiLevelType w:val="hybridMultilevel"/>
    <w:tmpl w:val="C4A8F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C5350F"/>
    <w:multiLevelType w:val="hybridMultilevel"/>
    <w:tmpl w:val="CF50D2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F4A77AE"/>
    <w:multiLevelType w:val="hybridMultilevel"/>
    <w:tmpl w:val="5BCAE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5C7B86"/>
    <w:multiLevelType w:val="hybridMultilevel"/>
    <w:tmpl w:val="188A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E45FB8"/>
    <w:multiLevelType w:val="hybridMultilevel"/>
    <w:tmpl w:val="B6AC6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F9867C1"/>
    <w:multiLevelType w:val="hybridMultilevel"/>
    <w:tmpl w:val="FC4CA0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7C471D"/>
    <w:multiLevelType w:val="hybridMultilevel"/>
    <w:tmpl w:val="1916B0B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69D45EF"/>
    <w:multiLevelType w:val="hybridMultilevel"/>
    <w:tmpl w:val="5920897E"/>
    <w:lvl w:ilvl="0" w:tplc="D2D24C30">
      <w:start w:val="1"/>
      <w:numFmt w:val="decimal"/>
      <w:lvlText w:val="%1."/>
      <w:lvlJc w:val="left"/>
      <w:pPr>
        <w:ind w:left="1080" w:hanging="360"/>
      </w:pPr>
      <w:rPr>
        <w:rFonts w:asciiTheme="minorHAnsi" w:eastAsiaTheme="minorHAnsi" w:hAnsiTheme="minorHAnsi" w:cstheme="minorHAns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72A523E"/>
    <w:multiLevelType w:val="hybridMultilevel"/>
    <w:tmpl w:val="50D8D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F2292B"/>
    <w:multiLevelType w:val="hybridMultilevel"/>
    <w:tmpl w:val="301040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1AF673A"/>
    <w:multiLevelType w:val="hybridMultilevel"/>
    <w:tmpl w:val="598CA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A61598"/>
    <w:multiLevelType w:val="hybridMultilevel"/>
    <w:tmpl w:val="59AA5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F5156C"/>
    <w:multiLevelType w:val="hybridMultilevel"/>
    <w:tmpl w:val="1CAEB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4E59B5"/>
    <w:multiLevelType w:val="hybridMultilevel"/>
    <w:tmpl w:val="56C42A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6A910198"/>
    <w:multiLevelType w:val="hybridMultilevel"/>
    <w:tmpl w:val="BADC2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6120DF"/>
    <w:multiLevelType w:val="hybridMultilevel"/>
    <w:tmpl w:val="96D60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EC1A17"/>
    <w:multiLevelType w:val="hybridMultilevel"/>
    <w:tmpl w:val="EA2AF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D84BEB"/>
    <w:multiLevelType w:val="hybridMultilevel"/>
    <w:tmpl w:val="6F161E88"/>
    <w:lvl w:ilvl="0" w:tplc="D2D24C30">
      <w:start w:val="1"/>
      <w:numFmt w:val="decimal"/>
      <w:lvlText w:val="%1."/>
      <w:lvlJc w:val="left"/>
      <w:pPr>
        <w:ind w:left="720" w:hanging="360"/>
      </w:pPr>
      <w:rPr>
        <w:rFonts w:asciiTheme="minorHAnsi" w:eastAsia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B64A60"/>
    <w:multiLevelType w:val="hybridMultilevel"/>
    <w:tmpl w:val="13922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9AF704A"/>
    <w:multiLevelType w:val="hybridMultilevel"/>
    <w:tmpl w:val="43CEC8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BE837F9"/>
    <w:multiLevelType w:val="hybridMultilevel"/>
    <w:tmpl w:val="CB18D15C"/>
    <w:lvl w:ilvl="0" w:tplc="90DE1D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3"/>
  </w:num>
  <w:num w:numId="3">
    <w:abstractNumId w:val="0"/>
  </w:num>
  <w:num w:numId="4">
    <w:abstractNumId w:val="10"/>
  </w:num>
  <w:num w:numId="5">
    <w:abstractNumId w:val="12"/>
  </w:num>
  <w:num w:numId="6">
    <w:abstractNumId w:val="25"/>
  </w:num>
  <w:num w:numId="7">
    <w:abstractNumId w:val="14"/>
  </w:num>
  <w:num w:numId="8">
    <w:abstractNumId w:val="21"/>
  </w:num>
  <w:num w:numId="9">
    <w:abstractNumId w:val="4"/>
  </w:num>
  <w:num w:numId="10">
    <w:abstractNumId w:val="26"/>
  </w:num>
  <w:num w:numId="11">
    <w:abstractNumId w:val="18"/>
  </w:num>
  <w:num w:numId="12">
    <w:abstractNumId w:val="9"/>
  </w:num>
  <w:num w:numId="13">
    <w:abstractNumId w:val="29"/>
  </w:num>
  <w:num w:numId="14">
    <w:abstractNumId w:val="1"/>
  </w:num>
  <w:num w:numId="15">
    <w:abstractNumId w:val="28"/>
  </w:num>
  <w:num w:numId="16">
    <w:abstractNumId w:val="6"/>
  </w:num>
  <w:num w:numId="17">
    <w:abstractNumId w:val="20"/>
  </w:num>
  <w:num w:numId="18">
    <w:abstractNumId w:val="15"/>
  </w:num>
  <w:num w:numId="19">
    <w:abstractNumId w:val="24"/>
  </w:num>
  <w:num w:numId="20">
    <w:abstractNumId w:val="7"/>
  </w:num>
  <w:num w:numId="21">
    <w:abstractNumId w:val="30"/>
  </w:num>
  <w:num w:numId="22">
    <w:abstractNumId w:val="8"/>
  </w:num>
  <w:num w:numId="23">
    <w:abstractNumId w:val="19"/>
  </w:num>
  <w:num w:numId="24">
    <w:abstractNumId w:val="5"/>
  </w:num>
  <w:num w:numId="25">
    <w:abstractNumId w:val="23"/>
  </w:num>
  <w:num w:numId="26">
    <w:abstractNumId w:val="22"/>
  </w:num>
  <w:num w:numId="27">
    <w:abstractNumId w:val="27"/>
  </w:num>
  <w:num w:numId="28">
    <w:abstractNumId w:val="13"/>
  </w:num>
  <w:num w:numId="29">
    <w:abstractNumId w:val="2"/>
  </w:num>
  <w:num w:numId="30">
    <w:abstractNumId w:val="16"/>
  </w:num>
  <w:num w:numId="31">
    <w:abstractNumId w:val="31"/>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767"/>
    <w:rsid w:val="00004C0F"/>
    <w:rsid w:val="0000706D"/>
    <w:rsid w:val="00013ED5"/>
    <w:rsid w:val="00015141"/>
    <w:rsid w:val="00024B4E"/>
    <w:rsid w:val="00030B11"/>
    <w:rsid w:val="00031E57"/>
    <w:rsid w:val="00033318"/>
    <w:rsid w:val="00040EA9"/>
    <w:rsid w:val="00043725"/>
    <w:rsid w:val="000557DD"/>
    <w:rsid w:val="0006146F"/>
    <w:rsid w:val="00067324"/>
    <w:rsid w:val="000729CB"/>
    <w:rsid w:val="00073E14"/>
    <w:rsid w:val="00081AD2"/>
    <w:rsid w:val="00086535"/>
    <w:rsid w:val="00093C04"/>
    <w:rsid w:val="000A3105"/>
    <w:rsid w:val="000A664A"/>
    <w:rsid w:val="000B0295"/>
    <w:rsid w:val="000B3F54"/>
    <w:rsid w:val="000E575F"/>
    <w:rsid w:val="000E5AAE"/>
    <w:rsid w:val="000E5CCF"/>
    <w:rsid w:val="000F7F57"/>
    <w:rsid w:val="001054A5"/>
    <w:rsid w:val="0011168C"/>
    <w:rsid w:val="00117EF9"/>
    <w:rsid w:val="00123CC3"/>
    <w:rsid w:val="00127E97"/>
    <w:rsid w:val="001342AB"/>
    <w:rsid w:val="00135D4B"/>
    <w:rsid w:val="00135F5E"/>
    <w:rsid w:val="001369B2"/>
    <w:rsid w:val="0014045E"/>
    <w:rsid w:val="001450BB"/>
    <w:rsid w:val="00145FA5"/>
    <w:rsid w:val="00146FBA"/>
    <w:rsid w:val="001525A3"/>
    <w:rsid w:val="00161C2B"/>
    <w:rsid w:val="00164916"/>
    <w:rsid w:val="00176A65"/>
    <w:rsid w:val="001828B7"/>
    <w:rsid w:val="001A7200"/>
    <w:rsid w:val="001A7E5D"/>
    <w:rsid w:val="001B17DC"/>
    <w:rsid w:val="001B5487"/>
    <w:rsid w:val="001C2239"/>
    <w:rsid w:val="001D5C02"/>
    <w:rsid w:val="001D6946"/>
    <w:rsid w:val="001F6FB4"/>
    <w:rsid w:val="00201656"/>
    <w:rsid w:val="00207B55"/>
    <w:rsid w:val="00214A97"/>
    <w:rsid w:val="00217E69"/>
    <w:rsid w:val="0022745E"/>
    <w:rsid w:val="00235B69"/>
    <w:rsid w:val="00237CB3"/>
    <w:rsid w:val="0024309F"/>
    <w:rsid w:val="0024604C"/>
    <w:rsid w:val="00250CCD"/>
    <w:rsid w:val="00251854"/>
    <w:rsid w:val="00257AF3"/>
    <w:rsid w:val="00273B77"/>
    <w:rsid w:val="002748B1"/>
    <w:rsid w:val="00282E0A"/>
    <w:rsid w:val="00283021"/>
    <w:rsid w:val="00286629"/>
    <w:rsid w:val="00291E95"/>
    <w:rsid w:val="002924EB"/>
    <w:rsid w:val="002B6325"/>
    <w:rsid w:val="002B70BD"/>
    <w:rsid w:val="002C2DD3"/>
    <w:rsid w:val="002C2FBA"/>
    <w:rsid w:val="002C7742"/>
    <w:rsid w:val="002D0658"/>
    <w:rsid w:val="002D5DEA"/>
    <w:rsid w:val="002D664C"/>
    <w:rsid w:val="002E4357"/>
    <w:rsid w:val="002E45B1"/>
    <w:rsid w:val="002F48DC"/>
    <w:rsid w:val="002F4AEB"/>
    <w:rsid w:val="002F4D92"/>
    <w:rsid w:val="00302696"/>
    <w:rsid w:val="003111CD"/>
    <w:rsid w:val="003128FE"/>
    <w:rsid w:val="00324CF3"/>
    <w:rsid w:val="0032502E"/>
    <w:rsid w:val="0033176A"/>
    <w:rsid w:val="0033286A"/>
    <w:rsid w:val="0035442F"/>
    <w:rsid w:val="00362684"/>
    <w:rsid w:val="0036506D"/>
    <w:rsid w:val="00370F57"/>
    <w:rsid w:val="00373A02"/>
    <w:rsid w:val="00374E5B"/>
    <w:rsid w:val="00377C6E"/>
    <w:rsid w:val="003B3A33"/>
    <w:rsid w:val="003C1F65"/>
    <w:rsid w:val="003C3747"/>
    <w:rsid w:val="003E0D8E"/>
    <w:rsid w:val="003E2AC7"/>
    <w:rsid w:val="003F0DC9"/>
    <w:rsid w:val="00405196"/>
    <w:rsid w:val="0041018C"/>
    <w:rsid w:val="00420ED3"/>
    <w:rsid w:val="004279FF"/>
    <w:rsid w:val="00433EB8"/>
    <w:rsid w:val="0043502A"/>
    <w:rsid w:val="0044521E"/>
    <w:rsid w:val="00456CF4"/>
    <w:rsid w:val="0046623E"/>
    <w:rsid w:val="004776A0"/>
    <w:rsid w:val="00485155"/>
    <w:rsid w:val="00496871"/>
    <w:rsid w:val="004A6BC9"/>
    <w:rsid w:val="004A7702"/>
    <w:rsid w:val="004D0A28"/>
    <w:rsid w:val="004D53AB"/>
    <w:rsid w:val="004F0AC7"/>
    <w:rsid w:val="004F505A"/>
    <w:rsid w:val="005103D7"/>
    <w:rsid w:val="00512BE1"/>
    <w:rsid w:val="005171A9"/>
    <w:rsid w:val="0052440D"/>
    <w:rsid w:val="005261E9"/>
    <w:rsid w:val="0052760A"/>
    <w:rsid w:val="00532B24"/>
    <w:rsid w:val="00541C44"/>
    <w:rsid w:val="005533A8"/>
    <w:rsid w:val="005568EC"/>
    <w:rsid w:val="00564B5C"/>
    <w:rsid w:val="00566A38"/>
    <w:rsid w:val="0057068A"/>
    <w:rsid w:val="00570E9A"/>
    <w:rsid w:val="00572012"/>
    <w:rsid w:val="00574A36"/>
    <w:rsid w:val="005764ED"/>
    <w:rsid w:val="005800E4"/>
    <w:rsid w:val="00591948"/>
    <w:rsid w:val="005930A0"/>
    <w:rsid w:val="005972F3"/>
    <w:rsid w:val="005A20A4"/>
    <w:rsid w:val="005A4406"/>
    <w:rsid w:val="005C03E8"/>
    <w:rsid w:val="005C2BA9"/>
    <w:rsid w:val="005C6CC2"/>
    <w:rsid w:val="005C6D82"/>
    <w:rsid w:val="005F379B"/>
    <w:rsid w:val="005F3ED1"/>
    <w:rsid w:val="005F5668"/>
    <w:rsid w:val="005F674F"/>
    <w:rsid w:val="00600A39"/>
    <w:rsid w:val="00604980"/>
    <w:rsid w:val="00605991"/>
    <w:rsid w:val="00605B60"/>
    <w:rsid w:val="00616E1E"/>
    <w:rsid w:val="00624E3D"/>
    <w:rsid w:val="0063630E"/>
    <w:rsid w:val="006379DA"/>
    <w:rsid w:val="006444D7"/>
    <w:rsid w:val="006554C1"/>
    <w:rsid w:val="00667AC1"/>
    <w:rsid w:val="00671C49"/>
    <w:rsid w:val="006813C4"/>
    <w:rsid w:val="00683928"/>
    <w:rsid w:val="006855F8"/>
    <w:rsid w:val="0069587D"/>
    <w:rsid w:val="006A16B8"/>
    <w:rsid w:val="006A1F1F"/>
    <w:rsid w:val="006B3862"/>
    <w:rsid w:val="006C6BC9"/>
    <w:rsid w:val="006E689F"/>
    <w:rsid w:val="006F15FF"/>
    <w:rsid w:val="006F3934"/>
    <w:rsid w:val="0070192A"/>
    <w:rsid w:val="00705406"/>
    <w:rsid w:val="00722CA9"/>
    <w:rsid w:val="00724F63"/>
    <w:rsid w:val="00725F68"/>
    <w:rsid w:val="00731F5C"/>
    <w:rsid w:val="00735D33"/>
    <w:rsid w:val="00736B94"/>
    <w:rsid w:val="0073775A"/>
    <w:rsid w:val="00765ACD"/>
    <w:rsid w:val="0077220B"/>
    <w:rsid w:val="00772268"/>
    <w:rsid w:val="00781B68"/>
    <w:rsid w:val="00783336"/>
    <w:rsid w:val="00787459"/>
    <w:rsid w:val="007934FD"/>
    <w:rsid w:val="00796549"/>
    <w:rsid w:val="00796FBD"/>
    <w:rsid w:val="007A6FF8"/>
    <w:rsid w:val="007B5B0F"/>
    <w:rsid w:val="007B64B4"/>
    <w:rsid w:val="007C629F"/>
    <w:rsid w:val="007C77E2"/>
    <w:rsid w:val="007D36C7"/>
    <w:rsid w:val="007E4388"/>
    <w:rsid w:val="007F3117"/>
    <w:rsid w:val="008145DB"/>
    <w:rsid w:val="008218F2"/>
    <w:rsid w:val="008357EC"/>
    <w:rsid w:val="008447C5"/>
    <w:rsid w:val="0085323D"/>
    <w:rsid w:val="008623EC"/>
    <w:rsid w:val="00891C68"/>
    <w:rsid w:val="008A07E3"/>
    <w:rsid w:val="008B0882"/>
    <w:rsid w:val="008B1CD7"/>
    <w:rsid w:val="008B4134"/>
    <w:rsid w:val="008E0FE6"/>
    <w:rsid w:val="008E7C02"/>
    <w:rsid w:val="008F74F2"/>
    <w:rsid w:val="00926DAC"/>
    <w:rsid w:val="009322EB"/>
    <w:rsid w:val="009344D1"/>
    <w:rsid w:val="00942E2B"/>
    <w:rsid w:val="0094434A"/>
    <w:rsid w:val="009539B2"/>
    <w:rsid w:val="00961804"/>
    <w:rsid w:val="009730F0"/>
    <w:rsid w:val="00981AED"/>
    <w:rsid w:val="009821E5"/>
    <w:rsid w:val="00987715"/>
    <w:rsid w:val="00990D1F"/>
    <w:rsid w:val="009923E9"/>
    <w:rsid w:val="009955C5"/>
    <w:rsid w:val="009A1EF4"/>
    <w:rsid w:val="009A2822"/>
    <w:rsid w:val="009B3346"/>
    <w:rsid w:val="009D7AA8"/>
    <w:rsid w:val="009E1125"/>
    <w:rsid w:val="009E32ED"/>
    <w:rsid w:val="009E78DC"/>
    <w:rsid w:val="009E7FF6"/>
    <w:rsid w:val="009F1D31"/>
    <w:rsid w:val="009F2BD1"/>
    <w:rsid w:val="00A07839"/>
    <w:rsid w:val="00A15F9D"/>
    <w:rsid w:val="00A3144A"/>
    <w:rsid w:val="00A335D5"/>
    <w:rsid w:val="00A37FAD"/>
    <w:rsid w:val="00A44F0C"/>
    <w:rsid w:val="00A4641F"/>
    <w:rsid w:val="00A57282"/>
    <w:rsid w:val="00A6067C"/>
    <w:rsid w:val="00A6246E"/>
    <w:rsid w:val="00A67D08"/>
    <w:rsid w:val="00A70F04"/>
    <w:rsid w:val="00A71DF1"/>
    <w:rsid w:val="00A72713"/>
    <w:rsid w:val="00A74FF9"/>
    <w:rsid w:val="00A819F0"/>
    <w:rsid w:val="00A86873"/>
    <w:rsid w:val="00A9678A"/>
    <w:rsid w:val="00AA1F9E"/>
    <w:rsid w:val="00AA53E1"/>
    <w:rsid w:val="00AB03ED"/>
    <w:rsid w:val="00AB0B15"/>
    <w:rsid w:val="00AB7558"/>
    <w:rsid w:val="00AC0CE5"/>
    <w:rsid w:val="00AC2CB9"/>
    <w:rsid w:val="00AC7353"/>
    <w:rsid w:val="00AE05D2"/>
    <w:rsid w:val="00AE5F30"/>
    <w:rsid w:val="00AF2735"/>
    <w:rsid w:val="00B00402"/>
    <w:rsid w:val="00B1500A"/>
    <w:rsid w:val="00B16193"/>
    <w:rsid w:val="00B2323B"/>
    <w:rsid w:val="00B27EF0"/>
    <w:rsid w:val="00B37255"/>
    <w:rsid w:val="00B4414E"/>
    <w:rsid w:val="00B44290"/>
    <w:rsid w:val="00B50A92"/>
    <w:rsid w:val="00B55426"/>
    <w:rsid w:val="00B56216"/>
    <w:rsid w:val="00B57A9B"/>
    <w:rsid w:val="00B71FCD"/>
    <w:rsid w:val="00B75CC9"/>
    <w:rsid w:val="00B7641E"/>
    <w:rsid w:val="00B76C72"/>
    <w:rsid w:val="00B84CEB"/>
    <w:rsid w:val="00B873E6"/>
    <w:rsid w:val="00B91424"/>
    <w:rsid w:val="00BA716E"/>
    <w:rsid w:val="00BB4447"/>
    <w:rsid w:val="00BC01BD"/>
    <w:rsid w:val="00BC2A14"/>
    <w:rsid w:val="00BC2BC9"/>
    <w:rsid w:val="00BC48FB"/>
    <w:rsid w:val="00BC4FA9"/>
    <w:rsid w:val="00BD278D"/>
    <w:rsid w:val="00BD4073"/>
    <w:rsid w:val="00BE022C"/>
    <w:rsid w:val="00BF164A"/>
    <w:rsid w:val="00BF1788"/>
    <w:rsid w:val="00BF3FF0"/>
    <w:rsid w:val="00BF5044"/>
    <w:rsid w:val="00C043AA"/>
    <w:rsid w:val="00C06730"/>
    <w:rsid w:val="00C328F9"/>
    <w:rsid w:val="00C414F7"/>
    <w:rsid w:val="00C416EB"/>
    <w:rsid w:val="00C5420C"/>
    <w:rsid w:val="00C60698"/>
    <w:rsid w:val="00C60DD0"/>
    <w:rsid w:val="00C66B4E"/>
    <w:rsid w:val="00C67E53"/>
    <w:rsid w:val="00C72CB7"/>
    <w:rsid w:val="00C85238"/>
    <w:rsid w:val="00C967CE"/>
    <w:rsid w:val="00CA785A"/>
    <w:rsid w:val="00CB0FCC"/>
    <w:rsid w:val="00CB3767"/>
    <w:rsid w:val="00CC1F2A"/>
    <w:rsid w:val="00CC5004"/>
    <w:rsid w:val="00CD1E3B"/>
    <w:rsid w:val="00CD22D2"/>
    <w:rsid w:val="00CF6EF2"/>
    <w:rsid w:val="00D00D15"/>
    <w:rsid w:val="00D16513"/>
    <w:rsid w:val="00D20057"/>
    <w:rsid w:val="00D243A2"/>
    <w:rsid w:val="00D26692"/>
    <w:rsid w:val="00D30319"/>
    <w:rsid w:val="00D33C69"/>
    <w:rsid w:val="00D33F31"/>
    <w:rsid w:val="00D34609"/>
    <w:rsid w:val="00D350F7"/>
    <w:rsid w:val="00D40CE9"/>
    <w:rsid w:val="00D503B1"/>
    <w:rsid w:val="00D55E7D"/>
    <w:rsid w:val="00D57B06"/>
    <w:rsid w:val="00D72AE2"/>
    <w:rsid w:val="00D814BE"/>
    <w:rsid w:val="00D83573"/>
    <w:rsid w:val="00D87281"/>
    <w:rsid w:val="00D90010"/>
    <w:rsid w:val="00D90642"/>
    <w:rsid w:val="00D9595F"/>
    <w:rsid w:val="00DA3157"/>
    <w:rsid w:val="00DA3DDB"/>
    <w:rsid w:val="00DA4F5E"/>
    <w:rsid w:val="00DC1678"/>
    <w:rsid w:val="00DD164D"/>
    <w:rsid w:val="00DD2B6B"/>
    <w:rsid w:val="00DD61CA"/>
    <w:rsid w:val="00DD63B1"/>
    <w:rsid w:val="00DE7656"/>
    <w:rsid w:val="00DF0426"/>
    <w:rsid w:val="00DF3F66"/>
    <w:rsid w:val="00DF4F90"/>
    <w:rsid w:val="00DF6EE8"/>
    <w:rsid w:val="00E0433A"/>
    <w:rsid w:val="00E10F9A"/>
    <w:rsid w:val="00E16FAD"/>
    <w:rsid w:val="00E22D25"/>
    <w:rsid w:val="00E2772A"/>
    <w:rsid w:val="00E27DCF"/>
    <w:rsid w:val="00E65FB7"/>
    <w:rsid w:val="00E75F2C"/>
    <w:rsid w:val="00E82E95"/>
    <w:rsid w:val="00E84095"/>
    <w:rsid w:val="00E844DE"/>
    <w:rsid w:val="00E93629"/>
    <w:rsid w:val="00E95CFE"/>
    <w:rsid w:val="00EA19D4"/>
    <w:rsid w:val="00EB5D6A"/>
    <w:rsid w:val="00EB68B6"/>
    <w:rsid w:val="00EC2CBE"/>
    <w:rsid w:val="00EE6290"/>
    <w:rsid w:val="00EF041D"/>
    <w:rsid w:val="00EF3401"/>
    <w:rsid w:val="00EF3C7B"/>
    <w:rsid w:val="00F059FD"/>
    <w:rsid w:val="00F1172F"/>
    <w:rsid w:val="00F14FE4"/>
    <w:rsid w:val="00F15EC2"/>
    <w:rsid w:val="00F238E3"/>
    <w:rsid w:val="00F25768"/>
    <w:rsid w:val="00F30306"/>
    <w:rsid w:val="00F40106"/>
    <w:rsid w:val="00F46CE9"/>
    <w:rsid w:val="00F470EF"/>
    <w:rsid w:val="00F52F2A"/>
    <w:rsid w:val="00F53988"/>
    <w:rsid w:val="00F6206F"/>
    <w:rsid w:val="00F64707"/>
    <w:rsid w:val="00F70E4E"/>
    <w:rsid w:val="00F775CE"/>
    <w:rsid w:val="00F869DE"/>
    <w:rsid w:val="00F93103"/>
    <w:rsid w:val="00F958B7"/>
    <w:rsid w:val="00F96AC7"/>
    <w:rsid w:val="00FA28D7"/>
    <w:rsid w:val="00FB5382"/>
    <w:rsid w:val="00FB5A41"/>
    <w:rsid w:val="00FB6C03"/>
    <w:rsid w:val="00FE1778"/>
    <w:rsid w:val="00FE3186"/>
    <w:rsid w:val="00FF1A54"/>
    <w:rsid w:val="00FF3C3F"/>
    <w:rsid w:val="00FF6D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F2BD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7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3767"/>
    <w:rPr>
      <w:rFonts w:ascii="Tahoma" w:hAnsi="Tahoma" w:cs="Tahoma"/>
      <w:sz w:val="16"/>
      <w:szCs w:val="16"/>
    </w:rPr>
  </w:style>
  <w:style w:type="character" w:customStyle="1" w:styleId="BalloonTextChar">
    <w:name w:val="Balloon Text Char"/>
    <w:basedOn w:val="DefaultParagraphFont"/>
    <w:link w:val="BalloonText"/>
    <w:uiPriority w:val="99"/>
    <w:semiHidden/>
    <w:rsid w:val="00CB3767"/>
    <w:rPr>
      <w:rFonts w:ascii="Tahoma" w:hAnsi="Tahoma" w:cs="Tahoma"/>
      <w:sz w:val="16"/>
      <w:szCs w:val="16"/>
    </w:rPr>
  </w:style>
  <w:style w:type="paragraph" w:styleId="Header">
    <w:name w:val="header"/>
    <w:basedOn w:val="Normal"/>
    <w:link w:val="HeaderChar"/>
    <w:uiPriority w:val="99"/>
    <w:unhideWhenUsed/>
    <w:rsid w:val="005261E9"/>
    <w:pPr>
      <w:tabs>
        <w:tab w:val="center" w:pos="4680"/>
        <w:tab w:val="right" w:pos="9360"/>
      </w:tabs>
    </w:pPr>
  </w:style>
  <w:style w:type="character" w:customStyle="1" w:styleId="HeaderChar">
    <w:name w:val="Header Char"/>
    <w:basedOn w:val="DefaultParagraphFont"/>
    <w:link w:val="Header"/>
    <w:uiPriority w:val="99"/>
    <w:rsid w:val="005261E9"/>
  </w:style>
  <w:style w:type="paragraph" w:styleId="Footer">
    <w:name w:val="footer"/>
    <w:basedOn w:val="Normal"/>
    <w:link w:val="FooterChar"/>
    <w:uiPriority w:val="99"/>
    <w:unhideWhenUsed/>
    <w:rsid w:val="005261E9"/>
    <w:pPr>
      <w:tabs>
        <w:tab w:val="center" w:pos="4680"/>
        <w:tab w:val="right" w:pos="9360"/>
      </w:tabs>
    </w:pPr>
  </w:style>
  <w:style w:type="character" w:customStyle="1" w:styleId="FooterChar">
    <w:name w:val="Footer Char"/>
    <w:basedOn w:val="DefaultParagraphFont"/>
    <w:link w:val="Footer"/>
    <w:uiPriority w:val="99"/>
    <w:rsid w:val="005261E9"/>
  </w:style>
  <w:style w:type="paragraph" w:customStyle="1" w:styleId="Formal1">
    <w:name w:val="Formal1"/>
    <w:basedOn w:val="Normal"/>
    <w:rsid w:val="00B7641E"/>
    <w:pPr>
      <w:spacing w:before="60" w:after="6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43502A"/>
    <w:pPr>
      <w:ind w:left="720"/>
      <w:contextualSpacing/>
    </w:pPr>
  </w:style>
  <w:style w:type="character" w:styleId="Hyperlink">
    <w:name w:val="Hyperlink"/>
    <w:basedOn w:val="DefaultParagraphFont"/>
    <w:uiPriority w:val="99"/>
    <w:unhideWhenUsed/>
    <w:rsid w:val="000B0295"/>
    <w:rPr>
      <w:color w:val="0000FF" w:themeColor="hyperlink"/>
      <w:u w:val="single"/>
    </w:rPr>
  </w:style>
  <w:style w:type="character" w:styleId="FollowedHyperlink">
    <w:name w:val="FollowedHyperlink"/>
    <w:basedOn w:val="DefaultParagraphFont"/>
    <w:uiPriority w:val="99"/>
    <w:semiHidden/>
    <w:unhideWhenUsed/>
    <w:rsid w:val="003B3A33"/>
    <w:rPr>
      <w:color w:val="800080" w:themeColor="followedHyperlink"/>
      <w:u w:val="single"/>
    </w:rPr>
  </w:style>
  <w:style w:type="character" w:customStyle="1" w:styleId="Heading1Char">
    <w:name w:val="Heading 1 Char"/>
    <w:basedOn w:val="DefaultParagraphFont"/>
    <w:link w:val="Heading1"/>
    <w:uiPriority w:val="9"/>
    <w:rsid w:val="009F2BD1"/>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EC2CBE"/>
    <w:rPr>
      <w:sz w:val="18"/>
      <w:szCs w:val="18"/>
    </w:rPr>
  </w:style>
  <w:style w:type="paragraph" w:styleId="CommentText">
    <w:name w:val="annotation text"/>
    <w:basedOn w:val="Normal"/>
    <w:link w:val="CommentTextChar"/>
    <w:uiPriority w:val="99"/>
    <w:semiHidden/>
    <w:unhideWhenUsed/>
    <w:rsid w:val="00EC2CBE"/>
    <w:rPr>
      <w:sz w:val="24"/>
      <w:szCs w:val="24"/>
    </w:rPr>
  </w:style>
  <w:style w:type="character" w:customStyle="1" w:styleId="CommentTextChar">
    <w:name w:val="Comment Text Char"/>
    <w:basedOn w:val="DefaultParagraphFont"/>
    <w:link w:val="CommentText"/>
    <w:uiPriority w:val="99"/>
    <w:semiHidden/>
    <w:rsid w:val="00EC2CBE"/>
    <w:rPr>
      <w:sz w:val="24"/>
      <w:szCs w:val="24"/>
    </w:rPr>
  </w:style>
  <w:style w:type="paragraph" w:styleId="CommentSubject">
    <w:name w:val="annotation subject"/>
    <w:basedOn w:val="CommentText"/>
    <w:next w:val="CommentText"/>
    <w:link w:val="CommentSubjectChar"/>
    <w:uiPriority w:val="99"/>
    <w:semiHidden/>
    <w:unhideWhenUsed/>
    <w:rsid w:val="00EC2CBE"/>
    <w:rPr>
      <w:b/>
      <w:bCs/>
      <w:sz w:val="20"/>
      <w:szCs w:val="20"/>
    </w:rPr>
  </w:style>
  <w:style w:type="character" w:customStyle="1" w:styleId="CommentSubjectChar">
    <w:name w:val="Comment Subject Char"/>
    <w:basedOn w:val="CommentTextChar"/>
    <w:link w:val="CommentSubject"/>
    <w:uiPriority w:val="99"/>
    <w:semiHidden/>
    <w:rsid w:val="00EC2CBE"/>
    <w:rPr>
      <w:b/>
      <w:bCs/>
      <w:sz w:val="20"/>
      <w:szCs w:val="20"/>
    </w:rPr>
  </w:style>
  <w:style w:type="table" w:customStyle="1" w:styleId="TableGrid1">
    <w:name w:val="Table Grid1"/>
    <w:basedOn w:val="TableNormal"/>
    <w:next w:val="TableGrid"/>
    <w:rsid w:val="00A74FF9"/>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A57282"/>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F2BD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7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3767"/>
    <w:rPr>
      <w:rFonts w:ascii="Tahoma" w:hAnsi="Tahoma" w:cs="Tahoma"/>
      <w:sz w:val="16"/>
      <w:szCs w:val="16"/>
    </w:rPr>
  </w:style>
  <w:style w:type="character" w:customStyle="1" w:styleId="BalloonTextChar">
    <w:name w:val="Balloon Text Char"/>
    <w:basedOn w:val="DefaultParagraphFont"/>
    <w:link w:val="BalloonText"/>
    <w:uiPriority w:val="99"/>
    <w:semiHidden/>
    <w:rsid w:val="00CB3767"/>
    <w:rPr>
      <w:rFonts w:ascii="Tahoma" w:hAnsi="Tahoma" w:cs="Tahoma"/>
      <w:sz w:val="16"/>
      <w:szCs w:val="16"/>
    </w:rPr>
  </w:style>
  <w:style w:type="paragraph" w:styleId="Header">
    <w:name w:val="header"/>
    <w:basedOn w:val="Normal"/>
    <w:link w:val="HeaderChar"/>
    <w:uiPriority w:val="99"/>
    <w:unhideWhenUsed/>
    <w:rsid w:val="005261E9"/>
    <w:pPr>
      <w:tabs>
        <w:tab w:val="center" w:pos="4680"/>
        <w:tab w:val="right" w:pos="9360"/>
      </w:tabs>
    </w:pPr>
  </w:style>
  <w:style w:type="character" w:customStyle="1" w:styleId="HeaderChar">
    <w:name w:val="Header Char"/>
    <w:basedOn w:val="DefaultParagraphFont"/>
    <w:link w:val="Header"/>
    <w:uiPriority w:val="99"/>
    <w:rsid w:val="005261E9"/>
  </w:style>
  <w:style w:type="paragraph" w:styleId="Footer">
    <w:name w:val="footer"/>
    <w:basedOn w:val="Normal"/>
    <w:link w:val="FooterChar"/>
    <w:uiPriority w:val="99"/>
    <w:unhideWhenUsed/>
    <w:rsid w:val="005261E9"/>
    <w:pPr>
      <w:tabs>
        <w:tab w:val="center" w:pos="4680"/>
        <w:tab w:val="right" w:pos="9360"/>
      </w:tabs>
    </w:pPr>
  </w:style>
  <w:style w:type="character" w:customStyle="1" w:styleId="FooterChar">
    <w:name w:val="Footer Char"/>
    <w:basedOn w:val="DefaultParagraphFont"/>
    <w:link w:val="Footer"/>
    <w:uiPriority w:val="99"/>
    <w:rsid w:val="005261E9"/>
  </w:style>
  <w:style w:type="paragraph" w:customStyle="1" w:styleId="Formal1">
    <w:name w:val="Formal1"/>
    <w:basedOn w:val="Normal"/>
    <w:rsid w:val="00B7641E"/>
    <w:pPr>
      <w:spacing w:before="60" w:after="6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43502A"/>
    <w:pPr>
      <w:ind w:left="720"/>
      <w:contextualSpacing/>
    </w:pPr>
  </w:style>
  <w:style w:type="character" w:styleId="Hyperlink">
    <w:name w:val="Hyperlink"/>
    <w:basedOn w:val="DefaultParagraphFont"/>
    <w:uiPriority w:val="99"/>
    <w:unhideWhenUsed/>
    <w:rsid w:val="000B0295"/>
    <w:rPr>
      <w:color w:val="0000FF" w:themeColor="hyperlink"/>
      <w:u w:val="single"/>
    </w:rPr>
  </w:style>
  <w:style w:type="character" w:styleId="FollowedHyperlink">
    <w:name w:val="FollowedHyperlink"/>
    <w:basedOn w:val="DefaultParagraphFont"/>
    <w:uiPriority w:val="99"/>
    <w:semiHidden/>
    <w:unhideWhenUsed/>
    <w:rsid w:val="003B3A33"/>
    <w:rPr>
      <w:color w:val="800080" w:themeColor="followedHyperlink"/>
      <w:u w:val="single"/>
    </w:rPr>
  </w:style>
  <w:style w:type="character" w:customStyle="1" w:styleId="Heading1Char">
    <w:name w:val="Heading 1 Char"/>
    <w:basedOn w:val="DefaultParagraphFont"/>
    <w:link w:val="Heading1"/>
    <w:uiPriority w:val="9"/>
    <w:rsid w:val="009F2BD1"/>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EC2CBE"/>
    <w:rPr>
      <w:sz w:val="18"/>
      <w:szCs w:val="18"/>
    </w:rPr>
  </w:style>
  <w:style w:type="paragraph" w:styleId="CommentText">
    <w:name w:val="annotation text"/>
    <w:basedOn w:val="Normal"/>
    <w:link w:val="CommentTextChar"/>
    <w:uiPriority w:val="99"/>
    <w:semiHidden/>
    <w:unhideWhenUsed/>
    <w:rsid w:val="00EC2CBE"/>
    <w:rPr>
      <w:sz w:val="24"/>
      <w:szCs w:val="24"/>
    </w:rPr>
  </w:style>
  <w:style w:type="character" w:customStyle="1" w:styleId="CommentTextChar">
    <w:name w:val="Comment Text Char"/>
    <w:basedOn w:val="DefaultParagraphFont"/>
    <w:link w:val="CommentText"/>
    <w:uiPriority w:val="99"/>
    <w:semiHidden/>
    <w:rsid w:val="00EC2CBE"/>
    <w:rPr>
      <w:sz w:val="24"/>
      <w:szCs w:val="24"/>
    </w:rPr>
  </w:style>
  <w:style w:type="paragraph" w:styleId="CommentSubject">
    <w:name w:val="annotation subject"/>
    <w:basedOn w:val="CommentText"/>
    <w:next w:val="CommentText"/>
    <w:link w:val="CommentSubjectChar"/>
    <w:uiPriority w:val="99"/>
    <w:semiHidden/>
    <w:unhideWhenUsed/>
    <w:rsid w:val="00EC2CBE"/>
    <w:rPr>
      <w:b/>
      <w:bCs/>
      <w:sz w:val="20"/>
      <w:szCs w:val="20"/>
    </w:rPr>
  </w:style>
  <w:style w:type="character" w:customStyle="1" w:styleId="CommentSubjectChar">
    <w:name w:val="Comment Subject Char"/>
    <w:basedOn w:val="CommentTextChar"/>
    <w:link w:val="CommentSubject"/>
    <w:uiPriority w:val="99"/>
    <w:semiHidden/>
    <w:rsid w:val="00EC2CBE"/>
    <w:rPr>
      <w:b/>
      <w:bCs/>
      <w:sz w:val="20"/>
      <w:szCs w:val="20"/>
    </w:rPr>
  </w:style>
  <w:style w:type="table" w:customStyle="1" w:styleId="TableGrid1">
    <w:name w:val="Table Grid1"/>
    <w:basedOn w:val="TableNormal"/>
    <w:next w:val="TableGrid"/>
    <w:rsid w:val="00A74FF9"/>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A57282"/>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284813">
      <w:bodyDiv w:val="1"/>
      <w:marLeft w:val="0"/>
      <w:marRight w:val="0"/>
      <w:marTop w:val="0"/>
      <w:marBottom w:val="0"/>
      <w:divBdr>
        <w:top w:val="none" w:sz="0" w:space="0" w:color="auto"/>
        <w:left w:val="none" w:sz="0" w:space="0" w:color="auto"/>
        <w:bottom w:val="none" w:sz="0" w:space="0" w:color="auto"/>
        <w:right w:val="none" w:sz="0" w:space="0" w:color="auto"/>
      </w:divBdr>
    </w:div>
    <w:div w:id="10440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inequalitycounts.org/page/2-961/system-delivery-reform-subcommitte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B7DB3-2226-4A2B-973F-1A6D642BE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1068</Words>
  <Characters>6088</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Office of Information Technology</Company>
  <LinksUpToDate>false</LinksUpToDate>
  <CharactersWithSpaces>7142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Peggie D.</dc:creator>
  <cp:lastModifiedBy>Gilbert, Denise E.</cp:lastModifiedBy>
  <cp:revision>2</cp:revision>
  <cp:lastPrinted>2013-12-10T18:34:00Z</cp:lastPrinted>
  <dcterms:created xsi:type="dcterms:W3CDTF">2013-12-10T18:34:00Z</dcterms:created>
  <dcterms:modified xsi:type="dcterms:W3CDTF">2013-12-10T18:34:00Z</dcterms:modified>
</cp:coreProperties>
</file>